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799D" w14:textId="0C0F6330" w:rsidR="002B3AFD" w:rsidRPr="002B3AFD" w:rsidRDefault="002B3AFD" w:rsidP="002B3AFD">
      <w:pPr>
        <w:rPr>
          <w:rFonts w:cstheme="minorHAnsi"/>
          <w:b/>
          <w:sz w:val="24"/>
          <w:szCs w:val="24"/>
        </w:rPr>
      </w:pPr>
      <w:r w:rsidRPr="002B3AFD">
        <w:rPr>
          <w:rFonts w:cstheme="minorHAnsi"/>
          <w:b/>
          <w:sz w:val="24"/>
          <w:szCs w:val="24"/>
        </w:rPr>
        <w:t>Assessment 2: Report (50%)</w:t>
      </w:r>
    </w:p>
    <w:p w14:paraId="771F0670" w14:textId="0B78F629" w:rsidR="002B3AFD" w:rsidRPr="00A1462A" w:rsidRDefault="002B3AFD">
      <w:pPr>
        <w:rPr>
          <w:rFonts w:cstheme="minorHAnsi"/>
          <w:b/>
          <w:bCs/>
          <w:sz w:val="24"/>
          <w:szCs w:val="24"/>
        </w:rPr>
      </w:pPr>
      <w:r w:rsidRPr="002B3AFD">
        <w:rPr>
          <w:rFonts w:cstheme="minorHAnsi"/>
          <w:b/>
          <w:bCs/>
          <w:sz w:val="24"/>
          <w:szCs w:val="24"/>
        </w:rPr>
        <w:t xml:space="preserve">Word limit: </w:t>
      </w:r>
      <w:r w:rsidRPr="002B3AFD">
        <w:rPr>
          <w:rFonts w:cstheme="minorHAnsi"/>
          <w:sz w:val="24"/>
          <w:szCs w:val="24"/>
        </w:rPr>
        <w:t>3000 words</w:t>
      </w:r>
    </w:p>
    <w:p w14:paraId="4591DF2F" w14:textId="70C95717" w:rsidR="002B3AFD" w:rsidRPr="002B3AFD" w:rsidRDefault="002B3AFD">
      <w:pPr>
        <w:rPr>
          <w:b/>
          <w:bCs/>
          <w:sz w:val="24"/>
          <w:szCs w:val="24"/>
        </w:rPr>
      </w:pPr>
      <w:r w:rsidRPr="002B3AFD">
        <w:rPr>
          <w:b/>
          <w:bCs/>
          <w:sz w:val="24"/>
          <w:szCs w:val="24"/>
        </w:rPr>
        <w:t xml:space="preserve">Brief </w:t>
      </w:r>
    </w:p>
    <w:p w14:paraId="1A0A8F8D" w14:textId="7037593F" w:rsidR="002B3AFD" w:rsidRPr="00B01458" w:rsidRDefault="00B01458">
      <w:pPr>
        <w:rPr>
          <w:sz w:val="24"/>
          <w:szCs w:val="24"/>
        </w:rPr>
      </w:pPr>
      <w:r>
        <w:rPr>
          <w:sz w:val="24"/>
          <w:szCs w:val="24"/>
        </w:rPr>
        <w:t>In</w:t>
      </w:r>
      <w:r w:rsidR="00BF3C53">
        <w:rPr>
          <w:sz w:val="24"/>
          <w:szCs w:val="24"/>
        </w:rPr>
        <w:t xml:space="preserve"> this unit we have outlined </w:t>
      </w:r>
      <w:r>
        <w:rPr>
          <w:sz w:val="24"/>
          <w:szCs w:val="24"/>
        </w:rPr>
        <w:t>the main</w:t>
      </w:r>
      <w:r w:rsidR="00BF3C53">
        <w:rPr>
          <w:sz w:val="24"/>
          <w:szCs w:val="24"/>
        </w:rPr>
        <w:t xml:space="preserve"> theoretical approaches to</w:t>
      </w:r>
      <w:r>
        <w:rPr>
          <w:sz w:val="24"/>
          <w:szCs w:val="24"/>
        </w:rPr>
        <w:t>, and critiques of,</w:t>
      </w:r>
      <w:r w:rsidR="00BF3C53">
        <w:rPr>
          <w:sz w:val="24"/>
          <w:szCs w:val="24"/>
        </w:rPr>
        <w:t xml:space="preserve"> development</w:t>
      </w:r>
      <w:r>
        <w:rPr>
          <w:sz w:val="24"/>
          <w:szCs w:val="24"/>
        </w:rPr>
        <w:t xml:space="preserve"> that have</w:t>
      </w:r>
      <w:r w:rsidR="00BF3C53">
        <w:rPr>
          <w:sz w:val="24"/>
          <w:szCs w:val="24"/>
        </w:rPr>
        <w:t xml:space="preserve"> </w:t>
      </w:r>
      <w:r>
        <w:rPr>
          <w:sz w:val="24"/>
          <w:szCs w:val="24"/>
        </w:rPr>
        <w:t>shaped</w:t>
      </w:r>
      <w:r w:rsidR="00BF3C53">
        <w:rPr>
          <w:sz w:val="24"/>
          <w:szCs w:val="24"/>
        </w:rPr>
        <w:t xml:space="preserve"> </w:t>
      </w:r>
      <w:r>
        <w:rPr>
          <w:sz w:val="24"/>
          <w:szCs w:val="24"/>
        </w:rPr>
        <w:t>our</w:t>
      </w:r>
      <w:r w:rsidR="00BF3C53">
        <w:rPr>
          <w:sz w:val="24"/>
          <w:szCs w:val="24"/>
        </w:rPr>
        <w:t xml:space="preserve"> world in the twentieth and twenty-first century. </w:t>
      </w:r>
      <w:r>
        <w:rPr>
          <w:sz w:val="24"/>
          <w:szCs w:val="24"/>
        </w:rPr>
        <w:t xml:space="preserve">We have also introduced the concept of a Livelihoods Approach to research through case studies. In this assignment you </w:t>
      </w:r>
      <w:proofErr w:type="gramStart"/>
      <w:r>
        <w:rPr>
          <w:sz w:val="24"/>
          <w:szCs w:val="24"/>
        </w:rPr>
        <w:t>have the opportunity to</w:t>
      </w:r>
      <w:proofErr w:type="gramEnd"/>
      <w:r>
        <w:rPr>
          <w:sz w:val="24"/>
          <w:szCs w:val="24"/>
        </w:rPr>
        <w:t xml:space="preserve"> research a livelihood of your choosing and apply the knowledge you have gained from this unit to produce a livelihood report. </w:t>
      </w:r>
    </w:p>
    <w:p w14:paraId="3E512699" w14:textId="1EFFB217" w:rsidR="00445430" w:rsidRPr="002B3AFD" w:rsidRDefault="002B3AFD">
      <w:pPr>
        <w:rPr>
          <w:b/>
          <w:bCs/>
          <w:sz w:val="24"/>
          <w:szCs w:val="24"/>
        </w:rPr>
      </w:pPr>
      <w:r w:rsidRPr="002B3AFD">
        <w:rPr>
          <w:b/>
          <w:bCs/>
          <w:sz w:val="24"/>
          <w:szCs w:val="24"/>
        </w:rPr>
        <w:t>Task</w:t>
      </w:r>
    </w:p>
    <w:p w14:paraId="642F9C8D" w14:textId="08DA1FB0" w:rsidR="00966B53" w:rsidRPr="002B3AFD" w:rsidRDefault="00966B53">
      <w:pPr>
        <w:rPr>
          <w:sz w:val="24"/>
          <w:szCs w:val="24"/>
        </w:rPr>
      </w:pPr>
      <w:r w:rsidRPr="002B3AFD">
        <w:rPr>
          <w:sz w:val="24"/>
          <w:szCs w:val="24"/>
        </w:rPr>
        <w:t xml:space="preserve">Select a livelihood </w:t>
      </w:r>
      <w:r w:rsidR="00DE2E99" w:rsidRPr="002B3AFD">
        <w:rPr>
          <w:sz w:val="24"/>
          <w:szCs w:val="24"/>
        </w:rPr>
        <w:t xml:space="preserve">to explore and develop a research report </w:t>
      </w:r>
      <w:r w:rsidR="00644DC3" w:rsidRPr="002B3AFD">
        <w:rPr>
          <w:sz w:val="24"/>
          <w:szCs w:val="24"/>
        </w:rPr>
        <w:t xml:space="preserve">addressing the following criteria: </w:t>
      </w:r>
    </w:p>
    <w:p w14:paraId="48D045F5" w14:textId="77777777" w:rsidR="00644DC3" w:rsidRPr="002B3AFD" w:rsidRDefault="00644DC3" w:rsidP="00644DC3">
      <w:pPr>
        <w:pStyle w:val="ListParagraph"/>
        <w:numPr>
          <w:ilvl w:val="0"/>
          <w:numId w:val="1"/>
        </w:numPr>
        <w:rPr>
          <w:sz w:val="24"/>
          <w:szCs w:val="24"/>
        </w:rPr>
      </w:pPr>
      <w:r w:rsidRPr="002B3AFD">
        <w:rPr>
          <w:sz w:val="24"/>
          <w:szCs w:val="24"/>
        </w:rPr>
        <w:t xml:space="preserve">Development theory </w:t>
      </w:r>
    </w:p>
    <w:p w14:paraId="7918B193" w14:textId="110C0631" w:rsidR="00644DC3" w:rsidRPr="002B3AFD" w:rsidRDefault="00644DC3" w:rsidP="00644DC3">
      <w:pPr>
        <w:pStyle w:val="ListParagraph"/>
        <w:numPr>
          <w:ilvl w:val="0"/>
          <w:numId w:val="1"/>
        </w:numPr>
        <w:rPr>
          <w:sz w:val="24"/>
          <w:szCs w:val="24"/>
        </w:rPr>
      </w:pPr>
      <w:r w:rsidRPr="002B3AFD">
        <w:rPr>
          <w:sz w:val="24"/>
          <w:szCs w:val="24"/>
        </w:rPr>
        <w:t>Method</w:t>
      </w:r>
      <w:r w:rsidR="00BC7304" w:rsidRPr="002B3AFD">
        <w:rPr>
          <w:sz w:val="24"/>
          <w:szCs w:val="24"/>
        </w:rPr>
        <w:t>s</w:t>
      </w:r>
    </w:p>
    <w:p w14:paraId="27318C30" w14:textId="77777777" w:rsidR="00644DC3" w:rsidRPr="002B3AFD" w:rsidRDefault="00644DC3" w:rsidP="00644DC3">
      <w:pPr>
        <w:pStyle w:val="ListParagraph"/>
        <w:numPr>
          <w:ilvl w:val="0"/>
          <w:numId w:val="1"/>
        </w:numPr>
        <w:rPr>
          <w:sz w:val="24"/>
          <w:szCs w:val="24"/>
        </w:rPr>
      </w:pPr>
      <w:r w:rsidRPr="002B3AFD">
        <w:rPr>
          <w:sz w:val="24"/>
          <w:szCs w:val="24"/>
        </w:rPr>
        <w:t xml:space="preserve">Livelihoods Approach </w:t>
      </w:r>
    </w:p>
    <w:p w14:paraId="03863775" w14:textId="591F7753" w:rsidR="00644DC3" w:rsidRPr="002B3AFD" w:rsidRDefault="00644DC3" w:rsidP="00644DC3">
      <w:pPr>
        <w:pStyle w:val="ListParagraph"/>
        <w:numPr>
          <w:ilvl w:val="1"/>
          <w:numId w:val="1"/>
        </w:numPr>
        <w:rPr>
          <w:sz w:val="24"/>
          <w:szCs w:val="24"/>
        </w:rPr>
      </w:pPr>
      <w:r w:rsidRPr="002B3AFD">
        <w:rPr>
          <w:sz w:val="24"/>
          <w:szCs w:val="24"/>
        </w:rPr>
        <w:t xml:space="preserve">Vulnerability context and Assets </w:t>
      </w:r>
    </w:p>
    <w:p w14:paraId="09231907" w14:textId="51957D47" w:rsidR="00644DC3" w:rsidRPr="002B3AFD" w:rsidRDefault="00644DC3" w:rsidP="00644DC3">
      <w:pPr>
        <w:pStyle w:val="ListParagraph"/>
        <w:numPr>
          <w:ilvl w:val="1"/>
          <w:numId w:val="1"/>
        </w:numPr>
        <w:rPr>
          <w:sz w:val="24"/>
          <w:szCs w:val="24"/>
        </w:rPr>
      </w:pPr>
      <w:r w:rsidRPr="002B3AFD">
        <w:rPr>
          <w:sz w:val="24"/>
          <w:szCs w:val="24"/>
        </w:rPr>
        <w:t xml:space="preserve">Structures and Processes </w:t>
      </w:r>
    </w:p>
    <w:p w14:paraId="2A7CD159" w14:textId="1667CAE3" w:rsidR="002B3AFD" w:rsidRDefault="00644DC3" w:rsidP="002B3AFD">
      <w:pPr>
        <w:pStyle w:val="ListParagraph"/>
        <w:numPr>
          <w:ilvl w:val="1"/>
          <w:numId w:val="1"/>
        </w:numPr>
        <w:rPr>
          <w:sz w:val="24"/>
          <w:szCs w:val="24"/>
        </w:rPr>
      </w:pPr>
      <w:r w:rsidRPr="002B3AFD">
        <w:rPr>
          <w:sz w:val="24"/>
          <w:szCs w:val="24"/>
        </w:rPr>
        <w:t xml:space="preserve">Strategies and Outcomes </w:t>
      </w:r>
    </w:p>
    <w:p w14:paraId="26DF29D4" w14:textId="692C6CD0" w:rsidR="00B01458" w:rsidRPr="00B01458" w:rsidRDefault="00B01458" w:rsidP="00B01458">
      <w:pPr>
        <w:rPr>
          <w:sz w:val="24"/>
          <w:szCs w:val="24"/>
        </w:rPr>
      </w:pPr>
      <w:r>
        <w:rPr>
          <w:sz w:val="24"/>
          <w:szCs w:val="24"/>
        </w:rPr>
        <w:t xml:space="preserve">*It is a good idea to discuss your selection with your tutor. </w:t>
      </w:r>
    </w:p>
    <w:p w14:paraId="3453CE4C" w14:textId="09618074" w:rsidR="00644DC3" w:rsidRPr="002B3AFD" w:rsidRDefault="00644DC3" w:rsidP="00644DC3">
      <w:pPr>
        <w:rPr>
          <w:b/>
          <w:bCs/>
          <w:sz w:val="24"/>
          <w:szCs w:val="24"/>
        </w:rPr>
      </w:pPr>
      <w:r w:rsidRPr="002B3AFD">
        <w:rPr>
          <w:b/>
          <w:bCs/>
          <w:sz w:val="24"/>
          <w:szCs w:val="24"/>
        </w:rPr>
        <w:t xml:space="preserve">Criteria </w:t>
      </w:r>
    </w:p>
    <w:p w14:paraId="067FD1F3" w14:textId="3B9C9902" w:rsidR="00644DC3" w:rsidRPr="002B3AFD" w:rsidRDefault="00644DC3" w:rsidP="00644DC3">
      <w:pPr>
        <w:rPr>
          <w:sz w:val="24"/>
          <w:szCs w:val="24"/>
        </w:rPr>
      </w:pPr>
      <w:r w:rsidRPr="00725696">
        <w:rPr>
          <w:b/>
          <w:bCs/>
          <w:sz w:val="24"/>
          <w:szCs w:val="24"/>
        </w:rPr>
        <w:t>Development Theory</w:t>
      </w:r>
      <w:r w:rsidRPr="002B3AFD">
        <w:rPr>
          <w:sz w:val="24"/>
          <w:szCs w:val="24"/>
        </w:rPr>
        <w:t xml:space="preserve">: Your report should have a section where you </w:t>
      </w:r>
      <w:r w:rsidR="00832BBD" w:rsidRPr="002B3AFD">
        <w:rPr>
          <w:sz w:val="24"/>
          <w:szCs w:val="24"/>
        </w:rPr>
        <w:t>outline and discuss</w:t>
      </w:r>
      <w:r w:rsidRPr="002B3AFD">
        <w:rPr>
          <w:sz w:val="24"/>
          <w:szCs w:val="24"/>
        </w:rPr>
        <w:t xml:space="preserve"> the main </w:t>
      </w:r>
      <w:r w:rsidR="00832BBD" w:rsidRPr="002B3AFD">
        <w:rPr>
          <w:sz w:val="24"/>
          <w:szCs w:val="24"/>
        </w:rPr>
        <w:t xml:space="preserve">theoretical </w:t>
      </w:r>
      <w:r w:rsidRPr="002B3AFD">
        <w:rPr>
          <w:sz w:val="24"/>
          <w:szCs w:val="24"/>
        </w:rPr>
        <w:t>approaches to development (</w:t>
      </w:r>
      <w:r w:rsidR="00832BBD" w:rsidRPr="002B3AFD">
        <w:rPr>
          <w:sz w:val="24"/>
          <w:szCs w:val="24"/>
        </w:rPr>
        <w:t xml:space="preserve">i.e., </w:t>
      </w:r>
      <w:r w:rsidRPr="002B3AFD">
        <w:rPr>
          <w:sz w:val="24"/>
          <w:szCs w:val="24"/>
        </w:rPr>
        <w:t>modernisation</w:t>
      </w:r>
      <w:r w:rsidR="00832BBD" w:rsidRPr="002B3AFD">
        <w:rPr>
          <w:sz w:val="24"/>
          <w:szCs w:val="24"/>
        </w:rPr>
        <w:t>;</w:t>
      </w:r>
      <w:r w:rsidRPr="002B3AFD">
        <w:rPr>
          <w:sz w:val="24"/>
          <w:szCs w:val="24"/>
        </w:rPr>
        <w:t xml:space="preserve"> </w:t>
      </w:r>
      <w:r w:rsidR="00832BBD" w:rsidRPr="002B3AFD">
        <w:rPr>
          <w:sz w:val="24"/>
          <w:szCs w:val="24"/>
        </w:rPr>
        <w:t xml:space="preserve">dependency; neo-liberalism; post-structuralist). This section should reference </w:t>
      </w:r>
      <w:r w:rsidR="00725696">
        <w:rPr>
          <w:sz w:val="24"/>
          <w:szCs w:val="24"/>
        </w:rPr>
        <w:t>key scholarly literature. You should also position your own research approach here [</w:t>
      </w:r>
      <w:proofErr w:type="gramStart"/>
      <w:r w:rsidR="00725696">
        <w:rPr>
          <w:sz w:val="24"/>
          <w:szCs w:val="24"/>
        </w:rPr>
        <w:t>i.e.</w:t>
      </w:r>
      <w:proofErr w:type="gramEnd"/>
      <w:r w:rsidR="00725696">
        <w:rPr>
          <w:sz w:val="24"/>
          <w:szCs w:val="24"/>
        </w:rPr>
        <w:t xml:space="preserve"> does your report take a critical position on neo-liberalism and offer a dependency theory critique; or does your report engage with a livelihoods approach outlined by for instance Scoones (2009)]</w:t>
      </w:r>
    </w:p>
    <w:p w14:paraId="1C62CFE8" w14:textId="1A88C1D4" w:rsidR="00BC7304" w:rsidRPr="002B3AFD" w:rsidRDefault="00BC7304" w:rsidP="00644DC3">
      <w:pPr>
        <w:rPr>
          <w:sz w:val="24"/>
          <w:szCs w:val="24"/>
        </w:rPr>
      </w:pPr>
      <w:r w:rsidRPr="00725696">
        <w:rPr>
          <w:b/>
          <w:bCs/>
          <w:sz w:val="24"/>
          <w:szCs w:val="24"/>
        </w:rPr>
        <w:t>Methods</w:t>
      </w:r>
      <w:r w:rsidRPr="002B3AFD">
        <w:rPr>
          <w:sz w:val="24"/>
          <w:szCs w:val="24"/>
        </w:rPr>
        <w:t xml:space="preserve">: In a research report, the authors must give an account of “how” they have gathered the evidence and “what” is the scope of the evidence collected. The “how” might be a survey, interviews, participant observation, desktop research, media analysis… (think the Fieldwork Skills unit); and the “what” is about justifying the reliability, confirmability, transferability of your data. There are also ethical considerations to think about. For a project of this size and scope you may choose to do an in-depth interview with a member of the selected livelihood, stakeholder, service work…; or desktop research (including literature, reports, media…); or perhaps a mix of both. </w:t>
      </w:r>
    </w:p>
    <w:p w14:paraId="0B809B1D" w14:textId="489F2AE0" w:rsidR="005A402A" w:rsidRPr="002B3AFD" w:rsidRDefault="005A402A" w:rsidP="00644DC3">
      <w:pPr>
        <w:rPr>
          <w:sz w:val="24"/>
          <w:szCs w:val="24"/>
        </w:rPr>
      </w:pPr>
      <w:r w:rsidRPr="00725696">
        <w:rPr>
          <w:b/>
          <w:bCs/>
          <w:sz w:val="24"/>
          <w:szCs w:val="24"/>
        </w:rPr>
        <w:t>Livelihoods Approach</w:t>
      </w:r>
      <w:r w:rsidRPr="002B3AFD">
        <w:rPr>
          <w:sz w:val="24"/>
          <w:szCs w:val="24"/>
        </w:rPr>
        <w:t>: This section is loosely based on the Sustainable Livelihoods Framework that has been discussed in class. But as you will come to know that a “Livelihoods approach” to research is more fluid than that (see PNG researcher’s presentations).</w:t>
      </w:r>
    </w:p>
    <w:p w14:paraId="7F77ADBE" w14:textId="00DCAB13" w:rsidR="005A402A" w:rsidRPr="002B3AFD" w:rsidRDefault="005A402A" w:rsidP="005A402A">
      <w:pPr>
        <w:pStyle w:val="ListParagraph"/>
        <w:numPr>
          <w:ilvl w:val="0"/>
          <w:numId w:val="2"/>
        </w:numPr>
        <w:rPr>
          <w:sz w:val="24"/>
          <w:szCs w:val="24"/>
        </w:rPr>
      </w:pPr>
      <w:r w:rsidRPr="00725696">
        <w:rPr>
          <w:b/>
          <w:bCs/>
          <w:sz w:val="24"/>
          <w:szCs w:val="24"/>
        </w:rPr>
        <w:lastRenderedPageBreak/>
        <w:t>Vulnerability Context and Assets</w:t>
      </w:r>
      <w:r w:rsidRPr="002B3AFD">
        <w:rPr>
          <w:sz w:val="24"/>
          <w:szCs w:val="24"/>
        </w:rPr>
        <w:t xml:space="preserve">: Consider the context and characteristics that produce vulnerability. This might be environmental, social, economic, cultural, political. </w:t>
      </w:r>
    </w:p>
    <w:p w14:paraId="2C9B98CC" w14:textId="555A27C3" w:rsidR="005A402A" w:rsidRPr="002B3AFD" w:rsidRDefault="005A402A" w:rsidP="005A402A">
      <w:pPr>
        <w:pStyle w:val="ListParagraph"/>
        <w:numPr>
          <w:ilvl w:val="0"/>
          <w:numId w:val="2"/>
        </w:numPr>
        <w:rPr>
          <w:sz w:val="24"/>
          <w:szCs w:val="24"/>
        </w:rPr>
      </w:pPr>
      <w:r w:rsidRPr="00725696">
        <w:rPr>
          <w:b/>
          <w:bCs/>
          <w:sz w:val="24"/>
          <w:szCs w:val="24"/>
        </w:rPr>
        <w:t>Structures and Processes</w:t>
      </w:r>
      <w:r w:rsidRPr="002B3AFD">
        <w:rPr>
          <w:sz w:val="24"/>
          <w:szCs w:val="24"/>
        </w:rPr>
        <w:t>: Building on the context of the livelihoods what are the key structures and processes affecting the livelihood community (refer to the SLF)</w:t>
      </w:r>
    </w:p>
    <w:p w14:paraId="7EB454FA" w14:textId="00C596E1" w:rsidR="005A402A" w:rsidRPr="002B3AFD" w:rsidRDefault="005A402A" w:rsidP="005A402A">
      <w:pPr>
        <w:pStyle w:val="ListParagraph"/>
        <w:numPr>
          <w:ilvl w:val="0"/>
          <w:numId w:val="2"/>
        </w:numPr>
        <w:rPr>
          <w:sz w:val="24"/>
          <w:szCs w:val="24"/>
        </w:rPr>
      </w:pPr>
      <w:r w:rsidRPr="00725696">
        <w:rPr>
          <w:b/>
          <w:bCs/>
          <w:sz w:val="24"/>
          <w:szCs w:val="24"/>
        </w:rPr>
        <w:t>Strategies and Outcomes</w:t>
      </w:r>
      <w:r w:rsidRPr="002B3AFD">
        <w:rPr>
          <w:sz w:val="24"/>
          <w:szCs w:val="24"/>
        </w:rPr>
        <w:t xml:space="preserve">: Consider pragmatic and structural </w:t>
      </w:r>
      <w:r w:rsidR="002B3AFD" w:rsidRPr="002B3AFD">
        <w:rPr>
          <w:sz w:val="24"/>
          <w:szCs w:val="24"/>
        </w:rPr>
        <w:t xml:space="preserve">recommendations and changes that might help improve sustainability (for example, security, wellbeing, resilience, development, empowerment…) for the livelihood community </w:t>
      </w:r>
    </w:p>
    <w:p w14:paraId="4949D688" w14:textId="77777777" w:rsidR="00BF3C53" w:rsidRDefault="00BF3C53" w:rsidP="00BF3C53">
      <w:pPr>
        <w:spacing w:after="200"/>
        <w:ind w:left="720" w:hanging="720"/>
        <w:rPr>
          <w:b/>
          <w:bCs/>
          <w:sz w:val="24"/>
          <w:szCs w:val="24"/>
        </w:rPr>
      </w:pPr>
    </w:p>
    <w:p w14:paraId="6EC10497" w14:textId="3C8EB1DA" w:rsidR="00BF3C53" w:rsidRPr="00BF3C53" w:rsidRDefault="00BF3C53" w:rsidP="00BF3C53">
      <w:pPr>
        <w:spacing w:after="200"/>
        <w:ind w:left="720" w:hanging="720"/>
        <w:rPr>
          <w:b/>
          <w:bCs/>
          <w:sz w:val="24"/>
          <w:szCs w:val="24"/>
        </w:rPr>
      </w:pPr>
      <w:r w:rsidRPr="00BF3C53">
        <w:rPr>
          <w:b/>
          <w:bCs/>
          <w:sz w:val="24"/>
          <w:szCs w:val="24"/>
        </w:rPr>
        <w:t>Submission Details</w:t>
      </w:r>
    </w:p>
    <w:p w14:paraId="3194DBB7" w14:textId="30B7ED2F" w:rsidR="00BF3C53" w:rsidRPr="00BF3C53" w:rsidRDefault="00BF3C53" w:rsidP="00BF3C53">
      <w:pPr>
        <w:spacing w:after="200"/>
        <w:rPr>
          <w:sz w:val="24"/>
          <w:szCs w:val="24"/>
        </w:rPr>
      </w:pPr>
      <w:r w:rsidRPr="00BF3C53">
        <w:rPr>
          <w:sz w:val="24"/>
          <w:szCs w:val="24"/>
        </w:rPr>
        <w:t xml:space="preserve">Please submit your assignment by uploading it to the nominated Turnitin link under the Assessment folder in Blackboard (not through email or in person). </w:t>
      </w:r>
    </w:p>
    <w:p w14:paraId="4BDB72FE" w14:textId="3A882C68" w:rsidR="00BF3C53" w:rsidRPr="00A1462A" w:rsidRDefault="00BF3C53" w:rsidP="00A1462A">
      <w:pPr>
        <w:spacing w:after="200"/>
        <w:rPr>
          <w:sz w:val="24"/>
          <w:szCs w:val="24"/>
        </w:rPr>
      </w:pPr>
      <w:r w:rsidRPr="00BF3C53">
        <w:rPr>
          <w:sz w:val="24"/>
          <w:szCs w:val="24"/>
        </w:rPr>
        <w:t>All normal academic integrity conventions and policies (including late penalties) cited in the Unit Outline apply.  Students’ work must be referenced correctly and according to nominated style (latest APA or Chicago).  ALL assessments submitted are checked for academic integrity (</w:t>
      </w:r>
      <w:proofErr w:type="gramStart"/>
      <w:r w:rsidRPr="00BF3C53">
        <w:rPr>
          <w:sz w:val="24"/>
          <w:szCs w:val="24"/>
        </w:rPr>
        <w:t>i.e.</w:t>
      </w:r>
      <w:proofErr w:type="gramEnd"/>
      <w:r w:rsidRPr="00BF3C53">
        <w:rPr>
          <w:sz w:val="24"/>
          <w:szCs w:val="24"/>
        </w:rPr>
        <w:t xml:space="preserve"> plagiarism), any such instances will be actioned according to policy.  To find out more information please visit the Curtin Library website and select ‘referencing’ link.</w:t>
      </w:r>
    </w:p>
    <w:p w14:paraId="7942729B" w14:textId="017A4CA8" w:rsidR="00BF3C53" w:rsidRPr="00BF3C53" w:rsidRDefault="00BF3C53" w:rsidP="00BF3C53">
      <w:pPr>
        <w:spacing w:after="200"/>
        <w:ind w:left="720" w:hanging="720"/>
        <w:rPr>
          <w:rFonts w:cstheme="minorHAnsi"/>
          <w:b/>
          <w:bCs/>
        </w:rPr>
      </w:pPr>
      <w:r>
        <w:rPr>
          <w:b/>
          <w:bCs/>
          <w:sz w:val="24"/>
          <w:szCs w:val="24"/>
        </w:rPr>
        <w:t xml:space="preserve">Resources </w:t>
      </w:r>
    </w:p>
    <w:p w14:paraId="3BA678FF" w14:textId="5F0ABFD8" w:rsidR="00BF3C53" w:rsidRPr="00D21597" w:rsidRDefault="00BF3C53" w:rsidP="00BF3C53">
      <w:pPr>
        <w:spacing w:after="200"/>
        <w:ind w:left="720" w:hanging="720"/>
        <w:rPr>
          <w:rFonts w:cstheme="minorHAnsi"/>
          <w:b/>
        </w:rPr>
      </w:pPr>
      <w:r w:rsidRPr="00D21597">
        <w:rPr>
          <w:rFonts w:cstheme="minorHAnsi"/>
          <w:b/>
        </w:rPr>
        <w:t xml:space="preserve">DFID Sustainable Livelihoods Framework </w:t>
      </w:r>
    </w:p>
    <w:p w14:paraId="7C7CA52D" w14:textId="77777777" w:rsidR="00BF3C53" w:rsidRPr="00D21597" w:rsidRDefault="00BF3C53" w:rsidP="00BF3C53">
      <w:pPr>
        <w:jc w:val="center"/>
        <w:rPr>
          <w:rFonts w:cstheme="minorHAnsi"/>
          <w:b/>
          <w:sz w:val="24"/>
        </w:rPr>
      </w:pPr>
      <w:r w:rsidRPr="00D21597">
        <w:rPr>
          <w:rFonts w:cstheme="minorHAnsi"/>
          <w:b/>
          <w:noProof/>
          <w:sz w:val="24"/>
          <w:lang w:eastAsia="en-AU"/>
        </w:rPr>
        <w:drawing>
          <wp:inline distT="0" distB="0" distL="0" distR="0" wp14:anchorId="3D02B3A0" wp14:editId="2BB1CCCE">
            <wp:extent cx="3983603" cy="2213113"/>
            <wp:effectExtent l="19050" t="19050" r="17145" b="1587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7525" cy="2220847"/>
                    </a:xfrm>
                    <a:prstGeom prst="rect">
                      <a:avLst/>
                    </a:prstGeom>
                    <a:noFill/>
                    <a:ln w="12700">
                      <a:solidFill>
                        <a:schemeClr val="tx1"/>
                      </a:solidFill>
                    </a:ln>
                  </pic:spPr>
                </pic:pic>
              </a:graphicData>
            </a:graphic>
          </wp:inline>
        </w:drawing>
      </w:r>
    </w:p>
    <w:p w14:paraId="54D9A7AE" w14:textId="77777777" w:rsidR="00BF3C53" w:rsidRPr="00D21597" w:rsidRDefault="00BF3C53" w:rsidP="00BF3C53">
      <w:pPr>
        <w:ind w:left="1440"/>
        <w:rPr>
          <w:rFonts w:cstheme="minorHAnsi"/>
          <w:sz w:val="20"/>
          <w:szCs w:val="20"/>
        </w:rPr>
      </w:pPr>
      <w:r w:rsidRPr="00D21597">
        <w:rPr>
          <w:rFonts w:cstheme="minorHAnsi"/>
          <w:sz w:val="20"/>
          <w:szCs w:val="20"/>
        </w:rPr>
        <w:t xml:space="preserve">Figure: DFID. (1999). </w:t>
      </w:r>
      <w:r w:rsidRPr="00D21597">
        <w:rPr>
          <w:rFonts w:cstheme="minorHAnsi"/>
          <w:i/>
          <w:iCs/>
          <w:sz w:val="20"/>
          <w:szCs w:val="20"/>
        </w:rPr>
        <w:t>Sustainable Livelihoods Guidance Sheets</w:t>
      </w:r>
      <w:r w:rsidRPr="00D21597">
        <w:rPr>
          <w:rFonts w:cstheme="minorHAnsi"/>
          <w:sz w:val="20"/>
          <w:szCs w:val="20"/>
        </w:rPr>
        <w:t>. London: Department for International Development</w:t>
      </w:r>
      <w:r>
        <w:rPr>
          <w:rFonts w:cstheme="minorHAnsi"/>
          <w:sz w:val="20"/>
          <w:szCs w:val="20"/>
        </w:rPr>
        <w:t xml:space="preserve"> (DFID)</w:t>
      </w:r>
      <w:r w:rsidRPr="00D21597">
        <w:rPr>
          <w:rFonts w:cstheme="minorHAnsi"/>
          <w:sz w:val="20"/>
          <w:szCs w:val="20"/>
        </w:rPr>
        <w:t>.</w:t>
      </w:r>
    </w:p>
    <w:p w14:paraId="193905F6" w14:textId="77777777" w:rsidR="00BF3C53" w:rsidRDefault="00BF3C53">
      <w:pPr>
        <w:rPr>
          <w:b/>
          <w:bCs/>
          <w:sz w:val="24"/>
          <w:szCs w:val="24"/>
        </w:rPr>
      </w:pPr>
    </w:p>
    <w:p w14:paraId="7C375D01" w14:textId="77777777" w:rsidR="00A1462A" w:rsidRDefault="00A1462A">
      <w:pPr>
        <w:rPr>
          <w:b/>
          <w:bCs/>
          <w:sz w:val="24"/>
          <w:szCs w:val="24"/>
        </w:rPr>
      </w:pPr>
      <w:r>
        <w:rPr>
          <w:b/>
          <w:bCs/>
          <w:sz w:val="24"/>
          <w:szCs w:val="24"/>
        </w:rPr>
        <w:br w:type="page"/>
      </w:r>
    </w:p>
    <w:p w14:paraId="3880AF2A" w14:textId="151C5D63" w:rsidR="00966B53" w:rsidRDefault="002B3AFD">
      <w:pPr>
        <w:rPr>
          <w:b/>
          <w:bCs/>
          <w:sz w:val="24"/>
          <w:szCs w:val="24"/>
        </w:rPr>
      </w:pPr>
      <w:r>
        <w:rPr>
          <w:b/>
          <w:bCs/>
          <w:sz w:val="24"/>
          <w:szCs w:val="24"/>
        </w:rPr>
        <w:lastRenderedPageBreak/>
        <w:t>References</w:t>
      </w:r>
    </w:p>
    <w:p w14:paraId="155D4916" w14:textId="6D952E1F" w:rsidR="00BF3C53" w:rsidRPr="00BF3C53" w:rsidRDefault="00BF3C53" w:rsidP="00BF3C53">
      <w:pPr>
        <w:ind w:left="720" w:hanging="720"/>
        <w:rPr>
          <w:rFonts w:cstheme="minorHAnsi"/>
          <w:b/>
          <w:sz w:val="24"/>
        </w:rPr>
      </w:pPr>
      <w:r w:rsidRPr="00BF3C53">
        <w:rPr>
          <w:rFonts w:cstheme="minorHAnsi"/>
          <w:sz w:val="24"/>
        </w:rPr>
        <w:t>Chambers, R. &amp; Conway, G. (1991). Sustainable rural livelihoods: practical concepts for the 21</w:t>
      </w:r>
      <w:r w:rsidRPr="00BF3C53">
        <w:rPr>
          <w:rFonts w:cstheme="minorHAnsi"/>
          <w:sz w:val="24"/>
          <w:vertAlign w:val="superscript"/>
        </w:rPr>
        <w:t>st</w:t>
      </w:r>
      <w:r w:rsidRPr="00BF3C53">
        <w:rPr>
          <w:rFonts w:cstheme="minorHAnsi"/>
          <w:sz w:val="24"/>
        </w:rPr>
        <w:t xml:space="preserve"> century. </w:t>
      </w:r>
      <w:r w:rsidRPr="00BF3C53">
        <w:rPr>
          <w:rFonts w:cstheme="minorHAnsi"/>
          <w:i/>
          <w:sz w:val="24"/>
        </w:rPr>
        <w:t>IDS discussion paper, 296</w:t>
      </w:r>
      <w:r w:rsidRPr="00BF3C53">
        <w:rPr>
          <w:rFonts w:cstheme="minorHAnsi"/>
          <w:sz w:val="24"/>
        </w:rPr>
        <w:t xml:space="preserve">: IDS. </w:t>
      </w:r>
    </w:p>
    <w:p w14:paraId="40C1C443" w14:textId="2B9BDC40" w:rsidR="00BF3C53" w:rsidRPr="00BF3C53" w:rsidRDefault="00BF3C53" w:rsidP="00BF3C53">
      <w:pPr>
        <w:ind w:left="720" w:hanging="720"/>
        <w:rPr>
          <w:rFonts w:cstheme="minorHAnsi"/>
          <w:sz w:val="24"/>
        </w:rPr>
      </w:pPr>
      <w:r w:rsidRPr="00BF3C53">
        <w:rPr>
          <w:rFonts w:cstheme="minorHAnsi"/>
          <w:sz w:val="24"/>
        </w:rPr>
        <w:t>Davies, J., White, J., Wright, A., Maru, Y., &amp; LaFlamme, M. (2008). Applying the sustainable livelihoods approach in Australian desert Aboriginal development. </w:t>
      </w:r>
      <w:r w:rsidRPr="00BF3C53">
        <w:rPr>
          <w:rFonts w:cstheme="minorHAnsi"/>
          <w:i/>
          <w:iCs/>
          <w:sz w:val="24"/>
        </w:rPr>
        <w:t>The Rangeland Journal</w:t>
      </w:r>
      <w:r w:rsidRPr="00BF3C53">
        <w:rPr>
          <w:rFonts w:cstheme="minorHAnsi"/>
          <w:sz w:val="24"/>
        </w:rPr>
        <w:t>, </w:t>
      </w:r>
      <w:r w:rsidRPr="00BF3C53">
        <w:rPr>
          <w:rFonts w:cstheme="minorHAnsi"/>
          <w:i/>
          <w:iCs/>
          <w:sz w:val="24"/>
        </w:rPr>
        <w:t>30</w:t>
      </w:r>
      <w:r w:rsidRPr="00BF3C53">
        <w:rPr>
          <w:rFonts w:cstheme="minorHAnsi"/>
          <w:sz w:val="24"/>
        </w:rPr>
        <w:t>(1), 55-65.</w:t>
      </w:r>
    </w:p>
    <w:p w14:paraId="443E41F0" w14:textId="77777777" w:rsidR="00BF3C53" w:rsidRPr="00BF3C53" w:rsidRDefault="00BF3C53" w:rsidP="00BF3C53">
      <w:pPr>
        <w:ind w:left="720" w:hanging="720"/>
        <w:rPr>
          <w:rFonts w:cstheme="minorHAnsi"/>
          <w:sz w:val="24"/>
        </w:rPr>
      </w:pPr>
      <w:r w:rsidRPr="00BF3C53">
        <w:rPr>
          <w:rFonts w:cstheme="minorHAnsi"/>
          <w:sz w:val="24"/>
        </w:rPr>
        <w:t xml:space="preserve">McLean, J. E. (2015). Beyond the pentagon prison of sustainable livelihood approaches and towards livelihood trajectories approaches. </w:t>
      </w:r>
      <w:r w:rsidRPr="00BF3C53">
        <w:rPr>
          <w:rFonts w:cstheme="minorHAnsi"/>
          <w:i/>
          <w:iCs/>
          <w:sz w:val="24"/>
        </w:rPr>
        <w:t>Asia Pacific Viewpoint, 56</w:t>
      </w:r>
      <w:r w:rsidRPr="00BF3C53">
        <w:rPr>
          <w:rFonts w:cstheme="minorHAnsi"/>
          <w:sz w:val="24"/>
        </w:rPr>
        <w:t xml:space="preserve">(3), 380-391. </w:t>
      </w:r>
    </w:p>
    <w:p w14:paraId="237466B0" w14:textId="5E5F70E0" w:rsidR="00BF3C53" w:rsidRDefault="00BF3C53" w:rsidP="00BF3C53">
      <w:pPr>
        <w:ind w:left="720" w:hanging="720"/>
        <w:rPr>
          <w:rFonts w:cstheme="minorHAnsi"/>
          <w:sz w:val="24"/>
        </w:rPr>
      </w:pPr>
      <w:r w:rsidRPr="00BF3C53">
        <w:rPr>
          <w:rFonts w:cstheme="minorHAnsi"/>
          <w:sz w:val="24"/>
        </w:rPr>
        <w:t>Morse, S &amp; McNamara, N. (2013)</w:t>
      </w:r>
      <w:r w:rsidRPr="00BF3C53">
        <w:rPr>
          <w:rFonts w:cstheme="minorHAnsi"/>
          <w:b/>
          <w:bCs/>
          <w:sz w:val="24"/>
        </w:rPr>
        <w:t xml:space="preserve">. </w:t>
      </w:r>
      <w:r w:rsidRPr="00BF3C53">
        <w:rPr>
          <w:rFonts w:cstheme="minorHAnsi"/>
          <w:i/>
          <w:iCs/>
          <w:sz w:val="24"/>
        </w:rPr>
        <w:t>Sustainable Livelihood Approach: A Critique of Theory and Practice.</w:t>
      </w:r>
      <w:r w:rsidRPr="00BF3C53">
        <w:rPr>
          <w:rFonts w:cstheme="minorHAnsi"/>
          <w:b/>
          <w:bCs/>
          <w:sz w:val="24"/>
        </w:rPr>
        <w:t xml:space="preserve"> </w:t>
      </w:r>
      <w:r w:rsidRPr="00BF3C53">
        <w:rPr>
          <w:rFonts w:cstheme="minorHAnsi"/>
          <w:sz w:val="24"/>
        </w:rPr>
        <w:t xml:space="preserve">Dordrecht: Springer Netherlands (Chapter Two, pp. 15-60). </w:t>
      </w:r>
    </w:p>
    <w:p w14:paraId="45CFDF97" w14:textId="1BF517B5" w:rsidR="0096430A" w:rsidRDefault="0096430A" w:rsidP="00BF3C53">
      <w:pPr>
        <w:ind w:left="720" w:hanging="720"/>
        <w:rPr>
          <w:rFonts w:cstheme="minorHAnsi"/>
          <w:sz w:val="24"/>
        </w:rPr>
      </w:pPr>
      <w:r w:rsidRPr="0096430A">
        <w:rPr>
          <w:rFonts w:cstheme="minorHAnsi"/>
          <w:sz w:val="24"/>
        </w:rPr>
        <w:t xml:space="preserve">Radcliffe, S. (2014). Rethinking Development. In P. Cloke, P. Crang, &amp; M. Goodwin (Eds.), </w:t>
      </w:r>
      <w:r w:rsidRPr="0096430A">
        <w:rPr>
          <w:rFonts w:cstheme="minorHAnsi"/>
          <w:i/>
          <w:iCs/>
          <w:sz w:val="24"/>
        </w:rPr>
        <w:t>Introducing Human Geographies</w:t>
      </w:r>
      <w:r w:rsidRPr="0096430A">
        <w:rPr>
          <w:rFonts w:cstheme="minorHAnsi"/>
          <w:sz w:val="24"/>
        </w:rPr>
        <w:t xml:space="preserve"> (pp. pp. 312-323). Routledge.</w:t>
      </w:r>
    </w:p>
    <w:p w14:paraId="42A9E864" w14:textId="23CFAE51" w:rsidR="0096430A" w:rsidRDefault="0096430A" w:rsidP="0096430A">
      <w:pPr>
        <w:ind w:left="720" w:hanging="720"/>
        <w:rPr>
          <w:rFonts w:cstheme="minorHAnsi"/>
          <w:sz w:val="24"/>
        </w:rPr>
      </w:pPr>
      <w:r w:rsidRPr="0096430A">
        <w:rPr>
          <w:rFonts w:cstheme="minorHAnsi"/>
          <w:sz w:val="24"/>
        </w:rPr>
        <w:t>Rist</w:t>
      </w:r>
      <w:r>
        <w:rPr>
          <w:rFonts w:cstheme="minorHAnsi"/>
          <w:sz w:val="24"/>
        </w:rPr>
        <w:t>, G</w:t>
      </w:r>
      <w:r w:rsidRPr="0096430A">
        <w:rPr>
          <w:rFonts w:cstheme="minorHAnsi"/>
          <w:sz w:val="24"/>
        </w:rPr>
        <w:t xml:space="preserve">. (2014). </w:t>
      </w:r>
      <w:r w:rsidRPr="0096430A">
        <w:rPr>
          <w:rFonts w:cstheme="minorHAnsi"/>
          <w:i/>
          <w:iCs/>
          <w:sz w:val="24"/>
        </w:rPr>
        <w:t>The history of development: from Western origins to global faith</w:t>
      </w:r>
      <w:r w:rsidRPr="0096430A">
        <w:rPr>
          <w:rFonts w:cstheme="minorHAnsi"/>
          <w:sz w:val="24"/>
        </w:rPr>
        <w:t xml:space="preserve"> (P. </w:t>
      </w:r>
      <w:proofErr w:type="spellStart"/>
      <w:r w:rsidRPr="0096430A">
        <w:rPr>
          <w:rFonts w:cstheme="minorHAnsi"/>
          <w:sz w:val="24"/>
        </w:rPr>
        <w:t>Camiller</w:t>
      </w:r>
      <w:proofErr w:type="spellEnd"/>
      <w:r w:rsidRPr="0096430A">
        <w:rPr>
          <w:rFonts w:cstheme="minorHAnsi"/>
          <w:sz w:val="24"/>
        </w:rPr>
        <w:t xml:space="preserve">, Trans.; Fourth ed.). Zed. </w:t>
      </w:r>
    </w:p>
    <w:p w14:paraId="40DA18E2" w14:textId="6EF4DC07" w:rsidR="0096430A" w:rsidRDefault="0096430A" w:rsidP="00BF3C53">
      <w:pPr>
        <w:ind w:left="720" w:hanging="720"/>
        <w:rPr>
          <w:rFonts w:cstheme="minorHAnsi"/>
          <w:sz w:val="24"/>
        </w:rPr>
      </w:pPr>
      <w:r w:rsidRPr="0096430A">
        <w:rPr>
          <w:rFonts w:cstheme="minorHAnsi"/>
          <w:sz w:val="24"/>
        </w:rPr>
        <w:t xml:space="preserve">Routledge, P. (2014). Survival and Resistance. In P. Cloke, P. Crang, &amp; M. Goodwin (Eds.), </w:t>
      </w:r>
      <w:r w:rsidRPr="0096430A">
        <w:rPr>
          <w:rFonts w:cstheme="minorHAnsi"/>
          <w:i/>
          <w:iCs/>
          <w:sz w:val="24"/>
        </w:rPr>
        <w:t>Introducing Human Geographies</w:t>
      </w:r>
      <w:r w:rsidRPr="0096430A">
        <w:rPr>
          <w:rFonts w:cstheme="minorHAnsi"/>
          <w:sz w:val="24"/>
        </w:rPr>
        <w:t xml:space="preserve"> (3rd ed.). Routledge.</w:t>
      </w:r>
    </w:p>
    <w:p w14:paraId="4F251F26" w14:textId="47271193" w:rsidR="00BF3C53" w:rsidRPr="00BF3C53" w:rsidRDefault="00BF3C53" w:rsidP="00BF3C53">
      <w:pPr>
        <w:ind w:left="720" w:hanging="720"/>
        <w:rPr>
          <w:rFonts w:cstheme="minorHAnsi"/>
          <w:sz w:val="24"/>
        </w:rPr>
      </w:pPr>
      <w:r w:rsidRPr="00BF3C53">
        <w:rPr>
          <w:rFonts w:cstheme="minorHAnsi"/>
          <w:sz w:val="24"/>
        </w:rPr>
        <w:t xml:space="preserve">Scoones, I. (2009). Livelihoods perspectives and rural development. </w:t>
      </w:r>
      <w:r w:rsidRPr="00BF3C53">
        <w:rPr>
          <w:rFonts w:cstheme="minorHAnsi"/>
          <w:i/>
          <w:iCs/>
          <w:sz w:val="24"/>
        </w:rPr>
        <w:t>Journal of Peasant Studies, 36</w:t>
      </w:r>
      <w:r w:rsidRPr="00BF3C53">
        <w:rPr>
          <w:rFonts w:cstheme="minorHAnsi"/>
          <w:sz w:val="24"/>
        </w:rPr>
        <w:t xml:space="preserve">(1): 171-196. </w:t>
      </w:r>
    </w:p>
    <w:p w14:paraId="6B29A7D3" w14:textId="670A7E61" w:rsidR="002B3AFD" w:rsidRPr="00C05241" w:rsidRDefault="0096430A" w:rsidP="00B01458">
      <w:pPr>
        <w:ind w:left="720" w:hanging="720"/>
        <w:rPr>
          <w:rFonts w:cstheme="minorHAnsi"/>
          <w:sz w:val="24"/>
        </w:rPr>
      </w:pPr>
      <w:r w:rsidRPr="0096430A">
        <w:rPr>
          <w:rFonts w:cstheme="minorHAnsi"/>
          <w:sz w:val="24"/>
        </w:rPr>
        <w:t xml:space="preserve">Willis, K. (2014). Theories of Development. In P. Cloke, P. Crang, &amp; M. Goodwin (Eds.), </w:t>
      </w:r>
      <w:r w:rsidRPr="0096430A">
        <w:rPr>
          <w:rFonts w:cstheme="minorHAnsi"/>
          <w:i/>
          <w:iCs/>
          <w:sz w:val="24"/>
        </w:rPr>
        <w:t>Introducing Human Geographies</w:t>
      </w:r>
      <w:r w:rsidRPr="0096430A">
        <w:rPr>
          <w:rFonts w:cstheme="minorHAnsi"/>
          <w:sz w:val="24"/>
        </w:rPr>
        <w:t xml:space="preserve"> (Vol. 3rd). Routledge.</w:t>
      </w:r>
    </w:p>
    <w:p w14:paraId="0C8118E7" w14:textId="77777777" w:rsidR="002B3AFD" w:rsidRPr="00D21597" w:rsidRDefault="002B3AFD" w:rsidP="002B3AFD">
      <w:pPr>
        <w:rPr>
          <w:rFonts w:cstheme="minorHAnsi"/>
        </w:rPr>
      </w:pPr>
    </w:p>
    <w:p w14:paraId="141BC5DC" w14:textId="455CDC37" w:rsidR="002B3AFD" w:rsidRDefault="002B3AFD">
      <w:pPr>
        <w:rPr>
          <w:b/>
          <w:bCs/>
          <w:sz w:val="24"/>
          <w:szCs w:val="24"/>
        </w:rPr>
      </w:pPr>
    </w:p>
    <w:p w14:paraId="1678F12A" w14:textId="68F4B0A5" w:rsidR="00E66E0B" w:rsidRDefault="00E66E0B" w:rsidP="00E66E0B">
      <w:pPr>
        <w:jc w:val="center"/>
        <w:rPr>
          <w:b/>
          <w:bCs/>
          <w:sz w:val="24"/>
          <w:szCs w:val="24"/>
        </w:rPr>
      </w:pPr>
      <w:r>
        <w:rPr>
          <w:b/>
          <w:bCs/>
          <w:sz w:val="24"/>
          <w:szCs w:val="24"/>
        </w:rPr>
        <w:t>NOTES ON THE WRITTEN REPORT</w:t>
      </w:r>
    </w:p>
    <w:p w14:paraId="0E29947E" w14:textId="6C32647C" w:rsidR="00E66E0B" w:rsidRDefault="00E66E0B" w:rsidP="00E66E0B">
      <w:pPr>
        <w:jc w:val="center"/>
        <w:rPr>
          <w:b/>
          <w:bCs/>
          <w:sz w:val="24"/>
          <w:szCs w:val="24"/>
        </w:rPr>
      </w:pPr>
    </w:p>
    <w:p w14:paraId="6445EA85" w14:textId="6C64E11A" w:rsidR="00E66E0B" w:rsidRDefault="00E66E0B" w:rsidP="00E66E0B">
      <w:pPr>
        <w:jc w:val="center"/>
        <w:rPr>
          <w:b/>
          <w:bCs/>
          <w:sz w:val="24"/>
          <w:szCs w:val="24"/>
        </w:rPr>
      </w:pPr>
      <w:r>
        <w:rPr>
          <w:b/>
          <w:bCs/>
          <w:sz w:val="24"/>
          <w:szCs w:val="24"/>
        </w:rPr>
        <w:t xml:space="preserve">TOPIC – The livelihoods of Martu Traditional Owners in the </w:t>
      </w:r>
      <w:proofErr w:type="spellStart"/>
      <w:r>
        <w:rPr>
          <w:b/>
          <w:bCs/>
          <w:sz w:val="24"/>
          <w:szCs w:val="24"/>
        </w:rPr>
        <w:t>Pilbra</w:t>
      </w:r>
      <w:proofErr w:type="spellEnd"/>
      <w:r>
        <w:rPr>
          <w:b/>
          <w:bCs/>
          <w:sz w:val="24"/>
          <w:szCs w:val="24"/>
        </w:rPr>
        <w:t xml:space="preserve"> in WA</w:t>
      </w:r>
    </w:p>
    <w:p w14:paraId="751C996E" w14:textId="6536FBE2" w:rsidR="00E66E0B" w:rsidRDefault="00E66E0B" w:rsidP="00E66E0B">
      <w:pPr>
        <w:jc w:val="center"/>
        <w:rPr>
          <w:b/>
          <w:bCs/>
          <w:sz w:val="24"/>
          <w:szCs w:val="24"/>
        </w:rPr>
      </w:pPr>
    </w:p>
    <w:p w14:paraId="0969EEBD" w14:textId="6C7DDC4C" w:rsidR="00E66E0B" w:rsidRDefault="00E66E0B" w:rsidP="00E66E0B">
      <w:pPr>
        <w:rPr>
          <w:sz w:val="24"/>
          <w:szCs w:val="24"/>
        </w:rPr>
      </w:pPr>
      <w:r>
        <w:rPr>
          <w:sz w:val="24"/>
          <w:szCs w:val="24"/>
        </w:rPr>
        <w:t>Firstly, thank you for taking the time to help me with this assessment – below I have outlined everything you will need to complete this.  Please follow the instructions and the brief above and the guide outlined below to write this up.</w:t>
      </w:r>
    </w:p>
    <w:p w14:paraId="58740FC7" w14:textId="2D444748" w:rsidR="00E66E0B" w:rsidRDefault="00E66E0B" w:rsidP="00E66E0B">
      <w:pPr>
        <w:rPr>
          <w:sz w:val="24"/>
          <w:szCs w:val="24"/>
        </w:rPr>
      </w:pPr>
    </w:p>
    <w:p w14:paraId="2F6F5AD7" w14:textId="6FA2B306" w:rsidR="00E66E0B" w:rsidRDefault="00E66E0B" w:rsidP="00E66E0B">
      <w:pPr>
        <w:rPr>
          <w:sz w:val="24"/>
          <w:szCs w:val="24"/>
        </w:rPr>
      </w:pPr>
      <w:r>
        <w:rPr>
          <w:sz w:val="24"/>
          <w:szCs w:val="24"/>
        </w:rPr>
        <w:t>Intro – the Martu is an Indigenous group in Western Australia</w:t>
      </w:r>
    </w:p>
    <w:p w14:paraId="4FBAE118" w14:textId="38A6CD9D" w:rsidR="00E66E0B" w:rsidRPr="00600C89" w:rsidRDefault="00600C89" w:rsidP="00E66E0B">
      <w:pPr>
        <w:rPr>
          <w:b/>
          <w:bCs/>
          <w:sz w:val="24"/>
          <w:szCs w:val="24"/>
          <w:u w:val="single"/>
        </w:rPr>
      </w:pPr>
      <w:r w:rsidRPr="00600C89">
        <w:rPr>
          <w:b/>
          <w:bCs/>
          <w:sz w:val="24"/>
          <w:szCs w:val="24"/>
          <w:u w:val="single"/>
        </w:rPr>
        <w:t>The guide below is a guide to each paragraph and all the points that are necessary for this essay.  Please read and synthesise the sources that I have included here as they are essential for this essay.</w:t>
      </w:r>
    </w:p>
    <w:p w14:paraId="4AFAEB8C" w14:textId="77777777" w:rsidR="00267945" w:rsidRDefault="00267945" w:rsidP="00267945">
      <w:pPr>
        <w:rPr>
          <w:color w:val="C00000"/>
        </w:rPr>
      </w:pPr>
      <w:r>
        <w:rPr>
          <w:color w:val="C00000"/>
        </w:rPr>
        <w:lastRenderedPageBreak/>
        <w:t>Here are only a few sources you will need – please find more academic sources</w:t>
      </w:r>
    </w:p>
    <w:p w14:paraId="172B3BF1" w14:textId="77777777" w:rsidR="00267945" w:rsidRDefault="00267945" w:rsidP="00267945">
      <w:pPr>
        <w:pStyle w:val="ListParagraph"/>
        <w:numPr>
          <w:ilvl w:val="0"/>
          <w:numId w:val="6"/>
        </w:numPr>
        <w:rPr>
          <w:sz w:val="24"/>
          <w:szCs w:val="24"/>
        </w:rPr>
      </w:pPr>
      <w:hyperlink r:id="rId8" w:history="1">
        <w:r w:rsidRPr="004152D9">
          <w:rPr>
            <w:rStyle w:val="Hyperlink"/>
            <w:sz w:val="24"/>
            <w:szCs w:val="24"/>
          </w:rPr>
          <w:t>https://static1.squarespace.com/static/5ba1d67012b13ff5f6e56f11/t/6135befacfb2f9010adeeac1/1630912257083/KJ+evaluation+report+1+-</w:t>
        </w:r>
        <w:r w:rsidRPr="004152D9">
          <w:rPr>
            <w:rStyle w:val="Hyperlink"/>
            <w:sz w:val="24"/>
            <w:szCs w:val="24"/>
          </w:rPr>
          <w:t>+KJ%27s+performance+against+Martu+outcomes_FINAL.pdf</w:t>
        </w:r>
      </w:hyperlink>
    </w:p>
    <w:p w14:paraId="70A75D78" w14:textId="77777777" w:rsidR="00267945" w:rsidRDefault="00267945" w:rsidP="00267945">
      <w:pPr>
        <w:pStyle w:val="ListParagraph"/>
        <w:numPr>
          <w:ilvl w:val="0"/>
          <w:numId w:val="6"/>
        </w:numPr>
        <w:rPr>
          <w:sz w:val="24"/>
          <w:szCs w:val="24"/>
        </w:rPr>
      </w:pPr>
      <w:r w:rsidRPr="00287E0F">
        <w:rPr>
          <w:sz w:val="24"/>
          <w:szCs w:val="24"/>
        </w:rPr>
        <w:t>https://www.soas.ac.uk/cedep-demos/000_P528_RF_K3736-Demo/unit1/page_22.htm</w:t>
      </w:r>
    </w:p>
    <w:p w14:paraId="5FB9CB63" w14:textId="77777777" w:rsidR="00267945" w:rsidRDefault="00267945" w:rsidP="00267945">
      <w:pPr>
        <w:pStyle w:val="ListParagraph"/>
        <w:numPr>
          <w:ilvl w:val="0"/>
          <w:numId w:val="6"/>
        </w:numPr>
        <w:rPr>
          <w:sz w:val="24"/>
          <w:szCs w:val="24"/>
        </w:rPr>
      </w:pPr>
      <w:hyperlink r:id="rId9" w:history="1">
        <w:r w:rsidRPr="004152D9">
          <w:rPr>
            <w:rStyle w:val="Hyperlink"/>
            <w:sz w:val="24"/>
            <w:szCs w:val="24"/>
          </w:rPr>
          <w:t>https://static1.squarespace.com/static/55eef123e4b087ad372e72cf/t/5630ec81e4b0f64b5f80e3db/1446046849637/CoddingSAR.pdf</w:t>
        </w:r>
      </w:hyperlink>
    </w:p>
    <w:p w14:paraId="75BC8C79" w14:textId="77777777" w:rsidR="00267945" w:rsidRPr="00287E0F" w:rsidRDefault="00267945" w:rsidP="00267945">
      <w:pPr>
        <w:pStyle w:val="ListParagraph"/>
        <w:numPr>
          <w:ilvl w:val="0"/>
          <w:numId w:val="6"/>
        </w:numPr>
        <w:rPr>
          <w:rStyle w:val="doilink"/>
        </w:rPr>
      </w:pPr>
      <w:r w:rsidRPr="00727783">
        <w:rPr>
          <w:rStyle w:val="authors"/>
          <w:rFonts w:ascii="Open Sans" w:hAnsi="Open Sans" w:cs="Open Sans"/>
          <w:color w:val="333333"/>
        </w:rPr>
        <w:t>Ian Scoones</w:t>
      </w:r>
      <w:r w:rsidRPr="00727783">
        <w:rPr>
          <w:rStyle w:val="apple-converted-space"/>
          <w:rFonts w:ascii="Open Sans" w:hAnsi="Open Sans" w:cs="Open Sans"/>
          <w:color w:val="333333"/>
          <w:shd w:val="clear" w:color="auto" w:fill="FFFFFF"/>
        </w:rPr>
        <w:t> </w:t>
      </w:r>
      <w:r w:rsidRPr="00727783">
        <w:rPr>
          <w:rStyle w:val="date"/>
          <w:rFonts w:ascii="Open Sans" w:hAnsi="Open Sans" w:cs="Open Sans"/>
          <w:color w:val="333333"/>
        </w:rPr>
        <w:t>(2009)</w:t>
      </w:r>
      <w:r w:rsidRPr="00727783">
        <w:rPr>
          <w:rStyle w:val="apple-converted-space"/>
          <w:rFonts w:ascii="Open Sans" w:hAnsi="Open Sans" w:cs="Open Sans"/>
          <w:color w:val="333333"/>
          <w:shd w:val="clear" w:color="auto" w:fill="FFFFFF"/>
        </w:rPr>
        <w:t> </w:t>
      </w:r>
      <w:r w:rsidRPr="00727783">
        <w:rPr>
          <w:rStyle w:val="arttitle"/>
          <w:rFonts w:ascii="Open Sans" w:hAnsi="Open Sans" w:cs="Open Sans"/>
          <w:color w:val="333333"/>
        </w:rPr>
        <w:t>Livelihoods perspectives and rural development,</w:t>
      </w:r>
      <w:r w:rsidRPr="00727783">
        <w:rPr>
          <w:rStyle w:val="apple-converted-space"/>
          <w:rFonts w:ascii="Open Sans" w:hAnsi="Open Sans" w:cs="Open Sans"/>
          <w:color w:val="333333"/>
          <w:shd w:val="clear" w:color="auto" w:fill="FFFFFF"/>
        </w:rPr>
        <w:t> </w:t>
      </w:r>
      <w:r w:rsidRPr="00727783">
        <w:rPr>
          <w:rStyle w:val="serialtitle"/>
          <w:rFonts w:ascii="Open Sans" w:hAnsi="Open Sans" w:cs="Open Sans"/>
          <w:color w:val="333333"/>
        </w:rPr>
        <w:t>The Journal of Peasant Studies,</w:t>
      </w:r>
      <w:r w:rsidRPr="00727783">
        <w:rPr>
          <w:rStyle w:val="apple-converted-space"/>
          <w:rFonts w:ascii="Open Sans" w:hAnsi="Open Sans" w:cs="Open Sans"/>
          <w:color w:val="333333"/>
          <w:shd w:val="clear" w:color="auto" w:fill="FFFFFF"/>
        </w:rPr>
        <w:t> </w:t>
      </w:r>
      <w:r w:rsidRPr="00727783">
        <w:rPr>
          <w:rStyle w:val="volumeissue"/>
          <w:rFonts w:ascii="Open Sans" w:hAnsi="Open Sans" w:cs="Open Sans"/>
          <w:color w:val="333333"/>
        </w:rPr>
        <w:t>36:1,</w:t>
      </w:r>
      <w:r w:rsidRPr="00727783">
        <w:rPr>
          <w:rStyle w:val="apple-converted-space"/>
          <w:rFonts w:ascii="Open Sans" w:hAnsi="Open Sans" w:cs="Open Sans"/>
          <w:color w:val="333333"/>
          <w:shd w:val="clear" w:color="auto" w:fill="FFFFFF"/>
        </w:rPr>
        <w:t> </w:t>
      </w:r>
      <w:r w:rsidRPr="00727783">
        <w:rPr>
          <w:rStyle w:val="pagerange"/>
          <w:rFonts w:ascii="Open Sans" w:hAnsi="Open Sans" w:cs="Open Sans"/>
          <w:color w:val="333333"/>
        </w:rPr>
        <w:t>171-</w:t>
      </w:r>
      <w:proofErr w:type="gramStart"/>
      <w:r w:rsidRPr="00727783">
        <w:rPr>
          <w:rStyle w:val="pagerange"/>
          <w:rFonts w:ascii="Open Sans" w:hAnsi="Open Sans" w:cs="Open Sans"/>
          <w:color w:val="333333"/>
        </w:rPr>
        <w:t>196,</w:t>
      </w:r>
      <w:r w:rsidRPr="00727783">
        <w:rPr>
          <w:rStyle w:val="doilink"/>
          <w:rFonts w:ascii="Open Sans" w:hAnsi="Open Sans" w:cs="Open Sans"/>
          <w:color w:val="333333"/>
        </w:rPr>
        <w:t>DOI</w:t>
      </w:r>
      <w:proofErr w:type="gramEnd"/>
      <w:r w:rsidRPr="00727783">
        <w:rPr>
          <w:rStyle w:val="doilink"/>
          <w:rFonts w:ascii="Open Sans" w:hAnsi="Open Sans" w:cs="Open Sans"/>
          <w:color w:val="333333"/>
        </w:rPr>
        <w:t>:</w:t>
      </w:r>
      <w:r w:rsidRPr="00727783">
        <w:rPr>
          <w:rStyle w:val="apple-converted-space"/>
          <w:rFonts w:ascii="Open Sans" w:hAnsi="Open Sans" w:cs="Open Sans"/>
          <w:color w:val="333333"/>
        </w:rPr>
        <w:t> </w:t>
      </w:r>
      <w:hyperlink r:id="rId10" w:history="1">
        <w:r w:rsidRPr="00727783">
          <w:rPr>
            <w:rStyle w:val="Hyperlink"/>
            <w:rFonts w:ascii="Open Sans" w:hAnsi="Open Sans" w:cs="Open Sans"/>
            <w:color w:val="333333"/>
          </w:rPr>
          <w:t>10.1080/03066150902820503</w:t>
        </w:r>
      </w:hyperlink>
    </w:p>
    <w:p w14:paraId="5D65F34B" w14:textId="77777777" w:rsidR="00267945" w:rsidRDefault="00267945" w:rsidP="00267945">
      <w:pPr>
        <w:pStyle w:val="ListParagraph"/>
        <w:numPr>
          <w:ilvl w:val="0"/>
          <w:numId w:val="6"/>
        </w:numPr>
      </w:pPr>
      <w:hyperlink r:id="rId11" w:history="1">
        <w:r w:rsidRPr="004152D9">
          <w:rPr>
            <w:rStyle w:val="Hyperlink"/>
          </w:rPr>
          <w:t>https://www.jstor.org/stable/25470536</w:t>
        </w:r>
      </w:hyperlink>
    </w:p>
    <w:p w14:paraId="2B336F78" w14:textId="77777777" w:rsidR="00267945" w:rsidRDefault="00267945" w:rsidP="00267945">
      <w:pPr>
        <w:pStyle w:val="ListParagraph"/>
        <w:numPr>
          <w:ilvl w:val="0"/>
          <w:numId w:val="6"/>
        </w:numPr>
      </w:pPr>
      <w:hyperlink r:id="rId12" w:history="1">
        <w:r w:rsidRPr="004152D9">
          <w:rPr>
            <w:rStyle w:val="Hyperlink"/>
          </w:rPr>
          <w:t>https://research-repository.uwa.edu.au/en/publications/to-hunt-and-to-hold-martu-aboriginal-peoples-uses-and-knowledge-o</w:t>
        </w:r>
      </w:hyperlink>
    </w:p>
    <w:p w14:paraId="6F4825A8" w14:textId="77777777" w:rsidR="00267945" w:rsidRDefault="00267945" w:rsidP="00267945">
      <w:pPr>
        <w:pStyle w:val="ListParagraph"/>
        <w:numPr>
          <w:ilvl w:val="0"/>
          <w:numId w:val="6"/>
        </w:numPr>
      </w:pPr>
      <w:hyperlink r:id="rId13" w:history="1">
        <w:r w:rsidRPr="004152D9">
          <w:rPr>
            <w:rStyle w:val="Hyperlink"/>
          </w:rPr>
          <w:t>https://www.kj.org.au/meet-the-martu</w:t>
        </w:r>
      </w:hyperlink>
    </w:p>
    <w:p w14:paraId="3DD9A0C8" w14:textId="77777777" w:rsidR="00267945" w:rsidRDefault="00267945" w:rsidP="00267945">
      <w:pPr>
        <w:pStyle w:val="ListParagraph"/>
        <w:numPr>
          <w:ilvl w:val="0"/>
          <w:numId w:val="6"/>
        </w:numPr>
      </w:pPr>
      <w:hyperlink r:id="rId14" w:history="1">
        <w:r w:rsidRPr="004152D9">
          <w:rPr>
            <w:rStyle w:val="Hyperlink"/>
          </w:rPr>
          <w:t>https://www.natureaustralia.org.au/what-we-do/our-priorities/land-and-freshwater/land-freshwater-stories/martu-living-deserts/</w:t>
        </w:r>
      </w:hyperlink>
    </w:p>
    <w:p w14:paraId="60F9F125" w14:textId="77777777" w:rsidR="00267945" w:rsidRDefault="00267945" w:rsidP="00267945">
      <w:pPr>
        <w:pStyle w:val="ListParagraph"/>
        <w:numPr>
          <w:ilvl w:val="0"/>
          <w:numId w:val="6"/>
        </w:numPr>
      </w:pPr>
      <w:hyperlink r:id="rId15" w:history="1">
        <w:r w:rsidRPr="004152D9">
          <w:rPr>
            <w:rStyle w:val="Hyperlink"/>
          </w:rPr>
          <w:t>http://www.wdlac.com.au/martu/</w:t>
        </w:r>
      </w:hyperlink>
    </w:p>
    <w:p w14:paraId="6FA50622" w14:textId="77777777" w:rsidR="00267945" w:rsidRDefault="00267945" w:rsidP="00267945">
      <w:pPr>
        <w:pStyle w:val="ListParagraph"/>
        <w:numPr>
          <w:ilvl w:val="0"/>
          <w:numId w:val="6"/>
        </w:numPr>
      </w:pPr>
    </w:p>
    <w:p w14:paraId="4EC02192" w14:textId="55513D48" w:rsidR="00A53311" w:rsidRPr="00267945" w:rsidRDefault="00A53311" w:rsidP="00267945">
      <w:pPr>
        <w:pStyle w:val="ListParagraph"/>
        <w:rPr>
          <w:sz w:val="24"/>
          <w:szCs w:val="24"/>
        </w:rPr>
      </w:pPr>
    </w:p>
    <w:sectPr w:rsidR="00A53311" w:rsidRPr="0026794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C40B" w14:textId="77777777" w:rsidR="004714C5" w:rsidRDefault="004714C5" w:rsidP="002B3AFD">
      <w:pPr>
        <w:spacing w:after="0" w:line="240" w:lineRule="auto"/>
      </w:pPr>
      <w:r>
        <w:separator/>
      </w:r>
    </w:p>
  </w:endnote>
  <w:endnote w:type="continuationSeparator" w:id="0">
    <w:p w14:paraId="31BDAB3F" w14:textId="77777777" w:rsidR="004714C5" w:rsidRDefault="004714C5" w:rsidP="002B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1065" w14:textId="77777777" w:rsidR="004714C5" w:rsidRDefault="004714C5" w:rsidP="002B3AFD">
      <w:pPr>
        <w:spacing w:after="0" w:line="240" w:lineRule="auto"/>
      </w:pPr>
      <w:r>
        <w:separator/>
      </w:r>
    </w:p>
  </w:footnote>
  <w:footnote w:type="continuationSeparator" w:id="0">
    <w:p w14:paraId="538E8A38" w14:textId="77777777" w:rsidR="004714C5" w:rsidRDefault="004714C5" w:rsidP="002B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5CB4" w14:textId="77777777" w:rsidR="002B3AFD" w:rsidRPr="00762171" w:rsidRDefault="002B3AFD" w:rsidP="002B3AFD">
    <w:pPr>
      <w:pStyle w:val="Header"/>
      <w:jc w:val="right"/>
      <w:rPr>
        <w:b/>
        <w:color w:val="538135" w:themeColor="accent6" w:themeShade="BF"/>
        <w:sz w:val="24"/>
      </w:rPr>
    </w:pPr>
    <w:r>
      <w:rPr>
        <w:b/>
        <w:color w:val="538135" w:themeColor="accent6" w:themeShade="BF"/>
        <w:sz w:val="24"/>
      </w:rPr>
      <w:t>Sustainable Livelihoods</w:t>
    </w:r>
  </w:p>
  <w:p w14:paraId="189DFF52" w14:textId="212F23FD" w:rsidR="002B3AFD" w:rsidRDefault="002B3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4FC"/>
    <w:multiLevelType w:val="hybridMultilevel"/>
    <w:tmpl w:val="92A2B6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423B1"/>
    <w:multiLevelType w:val="hybridMultilevel"/>
    <w:tmpl w:val="CC624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CD6F29"/>
    <w:multiLevelType w:val="hybridMultilevel"/>
    <w:tmpl w:val="A454CF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A39E6"/>
    <w:multiLevelType w:val="hybridMultilevel"/>
    <w:tmpl w:val="FA18F6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257B4F"/>
    <w:multiLevelType w:val="hybridMultilevel"/>
    <w:tmpl w:val="C90A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2525FB"/>
    <w:multiLevelType w:val="hybridMultilevel"/>
    <w:tmpl w:val="863C5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5961578">
    <w:abstractNumId w:val="1"/>
  </w:num>
  <w:num w:numId="2" w16cid:durableId="1621523427">
    <w:abstractNumId w:val="5"/>
  </w:num>
  <w:num w:numId="3" w16cid:durableId="750928957">
    <w:abstractNumId w:val="4"/>
  </w:num>
  <w:num w:numId="4" w16cid:durableId="823662320">
    <w:abstractNumId w:val="0"/>
  </w:num>
  <w:num w:numId="5" w16cid:durableId="990213739">
    <w:abstractNumId w:val="2"/>
  </w:num>
  <w:num w:numId="6" w16cid:durableId="671838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53"/>
    <w:rsid w:val="00267945"/>
    <w:rsid w:val="002B3AFD"/>
    <w:rsid w:val="002E1071"/>
    <w:rsid w:val="00445430"/>
    <w:rsid w:val="004714C5"/>
    <w:rsid w:val="005A402A"/>
    <w:rsid w:val="00600C89"/>
    <w:rsid w:val="00644DC3"/>
    <w:rsid w:val="00725696"/>
    <w:rsid w:val="00727783"/>
    <w:rsid w:val="008138CC"/>
    <w:rsid w:val="00832BBD"/>
    <w:rsid w:val="0096430A"/>
    <w:rsid w:val="00966B53"/>
    <w:rsid w:val="009F626A"/>
    <w:rsid w:val="00A1462A"/>
    <w:rsid w:val="00A53311"/>
    <w:rsid w:val="00AA6981"/>
    <w:rsid w:val="00B01458"/>
    <w:rsid w:val="00BC7304"/>
    <w:rsid w:val="00BF3C53"/>
    <w:rsid w:val="00DE2E99"/>
    <w:rsid w:val="00E66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621B"/>
  <w15:chartTrackingRefBased/>
  <w15:docId w15:val="{E090FCA2-68F9-4704-AB51-A1F7113F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DC3"/>
    <w:pPr>
      <w:ind w:left="720"/>
      <w:contextualSpacing/>
    </w:pPr>
  </w:style>
  <w:style w:type="paragraph" w:styleId="Header">
    <w:name w:val="header"/>
    <w:basedOn w:val="Normal"/>
    <w:link w:val="HeaderChar"/>
    <w:uiPriority w:val="99"/>
    <w:unhideWhenUsed/>
    <w:rsid w:val="002B3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AFD"/>
  </w:style>
  <w:style w:type="paragraph" w:styleId="Footer">
    <w:name w:val="footer"/>
    <w:basedOn w:val="Normal"/>
    <w:link w:val="FooterChar"/>
    <w:uiPriority w:val="99"/>
    <w:unhideWhenUsed/>
    <w:rsid w:val="002B3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AFD"/>
  </w:style>
  <w:style w:type="character" w:styleId="Hyperlink">
    <w:name w:val="Hyperlink"/>
    <w:uiPriority w:val="99"/>
    <w:unhideWhenUsed/>
    <w:rsid w:val="002B3AFD"/>
    <w:rPr>
      <w:color w:val="0000FF"/>
      <w:u w:val="single"/>
    </w:rPr>
  </w:style>
  <w:style w:type="character" w:styleId="UnresolvedMention">
    <w:name w:val="Unresolved Mention"/>
    <w:basedOn w:val="DefaultParagraphFont"/>
    <w:uiPriority w:val="99"/>
    <w:semiHidden/>
    <w:unhideWhenUsed/>
    <w:rsid w:val="00727783"/>
    <w:rPr>
      <w:color w:val="605E5C"/>
      <w:shd w:val="clear" w:color="auto" w:fill="E1DFDD"/>
    </w:rPr>
  </w:style>
  <w:style w:type="character" w:customStyle="1" w:styleId="authors">
    <w:name w:val="authors"/>
    <w:basedOn w:val="DefaultParagraphFont"/>
    <w:rsid w:val="00727783"/>
  </w:style>
  <w:style w:type="character" w:customStyle="1" w:styleId="apple-converted-space">
    <w:name w:val="apple-converted-space"/>
    <w:basedOn w:val="DefaultParagraphFont"/>
    <w:rsid w:val="00727783"/>
  </w:style>
  <w:style w:type="character" w:customStyle="1" w:styleId="date">
    <w:name w:val="date"/>
    <w:basedOn w:val="DefaultParagraphFont"/>
    <w:rsid w:val="00727783"/>
  </w:style>
  <w:style w:type="character" w:customStyle="1" w:styleId="arttitle">
    <w:name w:val="art_title"/>
    <w:basedOn w:val="DefaultParagraphFont"/>
    <w:rsid w:val="00727783"/>
  </w:style>
  <w:style w:type="character" w:customStyle="1" w:styleId="serialtitle">
    <w:name w:val="serial_title"/>
    <w:basedOn w:val="DefaultParagraphFont"/>
    <w:rsid w:val="00727783"/>
  </w:style>
  <w:style w:type="character" w:customStyle="1" w:styleId="volumeissue">
    <w:name w:val="volume_issue"/>
    <w:basedOn w:val="DefaultParagraphFont"/>
    <w:rsid w:val="00727783"/>
  </w:style>
  <w:style w:type="character" w:customStyle="1" w:styleId="pagerange">
    <w:name w:val="page_range"/>
    <w:basedOn w:val="DefaultParagraphFont"/>
    <w:rsid w:val="00727783"/>
  </w:style>
  <w:style w:type="character" w:customStyle="1" w:styleId="doilink">
    <w:name w:val="doi_link"/>
    <w:basedOn w:val="DefaultParagraphFont"/>
    <w:rsid w:val="00727783"/>
  </w:style>
  <w:style w:type="character" w:styleId="FollowedHyperlink">
    <w:name w:val="FollowedHyperlink"/>
    <w:basedOn w:val="DefaultParagraphFont"/>
    <w:uiPriority w:val="99"/>
    <w:semiHidden/>
    <w:unhideWhenUsed/>
    <w:rsid w:val="00267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3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ba1d67012b13ff5f6e56f11/t/6135befacfb2f9010adeeac1/1630912257083/KJ+evaluation+report+1+-+KJ%27s+performance+against+Martu+outcomes_FINAL.pdf" TargetMode="External"/><Relationship Id="rId13" Type="http://schemas.openxmlformats.org/officeDocument/2006/relationships/hyperlink" Target="https://www.kj.org.au/meet-the-mart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search-repository.uwa.edu.au/en/publications/to-hunt-and-to-hold-martu-aboriginal-peoples-uses-and-knowledge-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stable/25470536" TargetMode="External"/><Relationship Id="rId5" Type="http://schemas.openxmlformats.org/officeDocument/2006/relationships/footnotes" Target="footnotes.xml"/><Relationship Id="rId15" Type="http://schemas.openxmlformats.org/officeDocument/2006/relationships/hyperlink" Target="http://www.wdlac.com.au/martu/" TargetMode="External"/><Relationship Id="rId10" Type="http://schemas.openxmlformats.org/officeDocument/2006/relationships/hyperlink" Target="https://doi.org/10.1080/03066150902820503" TargetMode="External"/><Relationship Id="rId4" Type="http://schemas.openxmlformats.org/officeDocument/2006/relationships/webSettings" Target="webSettings.xml"/><Relationship Id="rId9" Type="http://schemas.openxmlformats.org/officeDocument/2006/relationships/hyperlink" Target="https://static1.squarespace.com/static/55eef123e4b087ad372e72cf/t/5630ec81e4b0f64b5f80e3db/1446046849637/CoddingSAR.pdf" TargetMode="External"/><Relationship Id="rId14" Type="http://schemas.openxmlformats.org/officeDocument/2006/relationships/hyperlink" Target="https://www.natureaustralia.org.au/what-we-do/our-priorities/land-and-freshwater/land-freshwater-stories/martu-living-des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Shaphan Cox</dc:creator>
  <cp:keywords/>
  <dc:description/>
  <cp:lastModifiedBy>Dajana Lakic</cp:lastModifiedBy>
  <cp:revision>5</cp:revision>
  <dcterms:created xsi:type="dcterms:W3CDTF">2022-04-26T00:02:00Z</dcterms:created>
  <dcterms:modified xsi:type="dcterms:W3CDTF">2022-06-17T05:02:00Z</dcterms:modified>
</cp:coreProperties>
</file>