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8612F" w14:textId="7B2A2C7A" w:rsidR="009D6804" w:rsidRDefault="00D9390D" w:rsidP="00D9390D">
      <w:pPr>
        <w:jc w:val="center"/>
      </w:pPr>
      <w:r>
        <w:t>Notes for Argumentative History Essay</w:t>
      </w:r>
    </w:p>
    <w:p w14:paraId="61F5B666" w14:textId="77777777" w:rsidR="00D9390D" w:rsidRDefault="00D9390D" w:rsidP="00D9390D"/>
    <w:p w14:paraId="2E432745" w14:textId="77777777" w:rsidR="00D9390D" w:rsidRDefault="00D9390D" w:rsidP="00D9390D">
      <w:r>
        <w:t xml:space="preserve">Essay question: </w:t>
      </w:r>
    </w:p>
    <w:p w14:paraId="3D324F22" w14:textId="77777777" w:rsidR="00D9390D" w:rsidRDefault="00D9390D" w:rsidP="00D9390D"/>
    <w:p w14:paraId="361BBE3D" w14:textId="5504C2FC" w:rsidR="00D9390D" w:rsidRPr="00D9390D" w:rsidRDefault="00D9390D" w:rsidP="00D9390D">
      <w:r w:rsidRPr="00D9390D">
        <w:t xml:space="preserve">How did colonisers view Indigenous peoples and what were the consequences of these attitudes and beliefs? You may discuss this comparatively </w:t>
      </w:r>
      <w:r>
        <w:t>between - Australia and New Zealand.</w:t>
      </w:r>
    </w:p>
    <w:p w14:paraId="12AFD3C9" w14:textId="4E1290F6" w:rsidR="00D9390D" w:rsidRDefault="00D9390D" w:rsidP="00D9390D"/>
    <w:p w14:paraId="394FFD64" w14:textId="0DCEC565" w:rsidR="00D9390D" w:rsidRDefault="00D9390D" w:rsidP="00D9390D">
      <w:r>
        <w:t>Essay requirements:</w:t>
      </w:r>
    </w:p>
    <w:p w14:paraId="50775AE1" w14:textId="0DE64381" w:rsidR="00D9390D" w:rsidRDefault="00D9390D" w:rsidP="00D9390D"/>
    <w:p w14:paraId="55B87691" w14:textId="042EB8F8" w:rsidR="00D9390D" w:rsidRDefault="00D9390D" w:rsidP="00D9390D">
      <w:pPr>
        <w:pStyle w:val="ListParagraph"/>
        <w:numPr>
          <w:ilvl w:val="0"/>
          <w:numId w:val="3"/>
        </w:numPr>
      </w:pPr>
      <w:r>
        <w:t>1800 – 2</w:t>
      </w:r>
      <w:r w:rsidR="00541709">
        <w:t>0</w:t>
      </w:r>
      <w:r>
        <w:t>00 words</w:t>
      </w:r>
    </w:p>
    <w:p w14:paraId="45953DA8" w14:textId="701D34F5" w:rsidR="00D9390D" w:rsidRDefault="00D9390D" w:rsidP="00D9390D">
      <w:pPr>
        <w:pStyle w:val="ListParagraph"/>
        <w:numPr>
          <w:ilvl w:val="0"/>
          <w:numId w:val="3"/>
        </w:numPr>
      </w:pPr>
      <w:r>
        <w:t xml:space="preserve">Please use footnotes as per </w:t>
      </w:r>
      <w:r w:rsidRPr="00541709">
        <w:rPr>
          <w:b/>
          <w:bCs/>
        </w:rPr>
        <w:t>Chicago 17</w:t>
      </w:r>
      <w:r w:rsidRPr="00541709">
        <w:rPr>
          <w:b/>
          <w:bCs/>
          <w:vertAlign w:val="superscript"/>
        </w:rPr>
        <w:t>th</w:t>
      </w:r>
      <w:r w:rsidRPr="00541709">
        <w:rPr>
          <w:b/>
          <w:bCs/>
        </w:rPr>
        <w:t xml:space="preserve"> edition</w:t>
      </w:r>
    </w:p>
    <w:p w14:paraId="2B857F1C" w14:textId="25898ECE" w:rsidR="00D9390D" w:rsidRDefault="00D9390D" w:rsidP="00D9390D">
      <w:pPr>
        <w:pStyle w:val="ListParagraph"/>
        <w:numPr>
          <w:ilvl w:val="0"/>
          <w:numId w:val="3"/>
        </w:numPr>
      </w:pPr>
      <w:r>
        <w:t xml:space="preserve">12-15 references </w:t>
      </w:r>
    </w:p>
    <w:p w14:paraId="29382936" w14:textId="6A3DD5E1" w:rsidR="00D9390D" w:rsidRDefault="00D9390D" w:rsidP="00D9390D">
      <w:pPr>
        <w:pStyle w:val="ListParagraph"/>
        <w:numPr>
          <w:ilvl w:val="0"/>
          <w:numId w:val="3"/>
        </w:numPr>
      </w:pPr>
      <w:r>
        <w:t>Sustain argument based on evidence from primary and secondary sources</w:t>
      </w:r>
    </w:p>
    <w:p w14:paraId="5E26042E" w14:textId="77777777" w:rsidR="00D9390D" w:rsidRDefault="00D9390D" w:rsidP="00D9390D">
      <w:pPr>
        <w:pStyle w:val="ListParagraph"/>
        <w:numPr>
          <w:ilvl w:val="0"/>
          <w:numId w:val="3"/>
        </w:numPr>
      </w:pPr>
      <w:r>
        <w:t xml:space="preserve">Discuss in three main themes – </w:t>
      </w:r>
      <w:r w:rsidRPr="00541709">
        <w:rPr>
          <w:b/>
          <w:bCs/>
        </w:rPr>
        <w:t>for example,</w:t>
      </w:r>
      <w:r>
        <w:t xml:space="preserve"> </w:t>
      </w:r>
    </w:p>
    <w:p w14:paraId="5331D3BE" w14:textId="611D2093" w:rsidR="00D9390D" w:rsidRDefault="00D9390D" w:rsidP="00D9390D">
      <w:pPr>
        <w:pStyle w:val="ListParagraph"/>
        <w:numPr>
          <w:ilvl w:val="0"/>
          <w:numId w:val="3"/>
        </w:numPr>
      </w:pPr>
      <w:r>
        <w:t xml:space="preserve">I will first examine how British imperialists initial contact with Aboriginal Australians was represented in historical writings and reports.  Then examine the social implications of this as they’re framed through the human rights and social justice discourse on Aboriginal people in Australia.  Finally, this essay will examine the consequential effects of such attitudes by contemplating the social construction of the issues that Aboriginal people </w:t>
      </w:r>
      <w:proofErr w:type="gramStart"/>
      <w:r>
        <w:t>face  Finally</w:t>
      </w:r>
      <w:proofErr w:type="gramEnd"/>
      <w:r>
        <w:t>, highlighting the issue of autonomy</w:t>
      </w:r>
      <w:r w:rsidR="00541709">
        <w:t xml:space="preserve"> and </w:t>
      </w:r>
      <w:r>
        <w:t>sovereignty</w:t>
      </w:r>
      <w:r w:rsidR="00541709">
        <w:t>.</w:t>
      </w:r>
    </w:p>
    <w:p w14:paraId="47F1AC7F" w14:textId="043B2DF2" w:rsidR="00D9390D" w:rsidRDefault="00D9390D" w:rsidP="00D9390D">
      <w:pPr>
        <w:pStyle w:val="ListParagraph"/>
        <w:numPr>
          <w:ilvl w:val="0"/>
          <w:numId w:val="3"/>
        </w:numPr>
      </w:pPr>
      <w:r>
        <w:t>This work utilises critical discourse analysis to delve into the perceptions and attitudes of colonisers toward the Indigenous occupants that are known to have occupied the country for over 60,000 years.  I examine evidence that shows the consequences of these framings and representations.  Commenting on how this permeates into the cultural narrative, and consequently the effects that this has on Indigenous peoples and their human rights.</w:t>
      </w:r>
    </w:p>
    <w:p w14:paraId="438319F2" w14:textId="27E28EBF" w:rsidR="00D9390D" w:rsidRDefault="00D9390D" w:rsidP="00D9390D">
      <w:pPr>
        <w:pStyle w:val="ListParagraph"/>
        <w:numPr>
          <w:ilvl w:val="0"/>
          <w:numId w:val="3"/>
        </w:numPr>
      </w:pPr>
      <w:r>
        <w:t>lastly, examining the trajectory of change happening as Australia as a nation, focuses on reconciliation efforts.  Can also look at collaborative research methodologies that work closely with Indigenous communities, traditional ecological knowledge as being valued and incorporated into knowledge and understandings.  How this is practically applied in sustainability, environmental protection.  Historically this type of knowledge wasn’t regarded as valuable.  Consequently, it disempowered indigenous populations and excluded them from the academia at the time.</w:t>
      </w:r>
    </w:p>
    <w:p w14:paraId="2C5E245D" w14:textId="2E78FD27" w:rsidR="00D9390D" w:rsidRDefault="00D9390D" w:rsidP="00541709">
      <w:pPr>
        <w:pStyle w:val="ListParagraph"/>
      </w:pPr>
    </w:p>
    <w:p w14:paraId="729485F3" w14:textId="337F71A2" w:rsidR="00541709" w:rsidRDefault="00541709" w:rsidP="00541709">
      <w:pPr>
        <w:pStyle w:val="ListParagraph"/>
      </w:pPr>
      <w:r>
        <w:t xml:space="preserve">Please make sure you make a connection between the assumptions made about Indigenous people and the </w:t>
      </w:r>
      <w:r w:rsidRPr="00541709">
        <w:rPr>
          <w:b/>
          <w:bCs/>
        </w:rPr>
        <w:t>consequences</w:t>
      </w:r>
      <w:r>
        <w:t xml:space="preserve"> of these assumptions – </w:t>
      </w:r>
    </w:p>
    <w:p w14:paraId="5FC0C996" w14:textId="142601F0" w:rsidR="00541709" w:rsidRDefault="00541709" w:rsidP="00541709">
      <w:pPr>
        <w:pStyle w:val="ListParagraph"/>
        <w:numPr>
          <w:ilvl w:val="0"/>
          <w:numId w:val="5"/>
        </w:numPr>
      </w:pPr>
      <w:r>
        <w:t>in Australia aboriginal people don’t have rights to their land unless they’ve been granted native title rights.</w:t>
      </w:r>
    </w:p>
    <w:p w14:paraId="112505DE" w14:textId="411F7B42" w:rsidR="00541709" w:rsidRDefault="00541709" w:rsidP="00541709">
      <w:pPr>
        <w:pStyle w:val="ListParagraph"/>
        <w:numPr>
          <w:ilvl w:val="0"/>
          <w:numId w:val="5"/>
        </w:numPr>
      </w:pPr>
      <w:r>
        <w:t>See Closing the gap policy which shows social disadvantage of aboriginal people.</w:t>
      </w:r>
    </w:p>
    <w:p w14:paraId="6FC87BE0" w14:textId="69DB4567" w:rsidR="00541709" w:rsidRDefault="00541709" w:rsidP="00541709">
      <w:pPr>
        <w:pStyle w:val="ListParagraph"/>
        <w:numPr>
          <w:ilvl w:val="0"/>
          <w:numId w:val="5"/>
        </w:numPr>
      </w:pPr>
      <w:r>
        <w:t>These are some ideas that you can use.</w:t>
      </w:r>
    </w:p>
    <w:p w14:paraId="4CC409FE" w14:textId="4C3DF567" w:rsidR="00D9390D" w:rsidRDefault="00D9390D" w:rsidP="00D9390D"/>
    <w:p w14:paraId="7FFC5C16" w14:textId="77777777" w:rsidR="00D9390D" w:rsidRDefault="00D9390D" w:rsidP="00D9390D"/>
    <w:p w14:paraId="69C9B9E1" w14:textId="42F9DDD1" w:rsidR="00541709" w:rsidRDefault="00541709" w:rsidP="00D9390D">
      <w:r>
        <w:t>Resources</w:t>
      </w:r>
    </w:p>
    <w:p w14:paraId="06BF6AE1" w14:textId="4A1BFB00" w:rsidR="00541709" w:rsidRDefault="00541709" w:rsidP="00D9390D">
      <w:r>
        <w:t>Here are some resources, please use majority academic papers and peer reviewed sources.  Some of the websites are useful background info.</w:t>
      </w:r>
    </w:p>
    <w:p w14:paraId="1864EF45" w14:textId="77777777" w:rsidR="00541709" w:rsidRDefault="00541709" w:rsidP="00D9390D"/>
    <w:p w14:paraId="78C2B8D8" w14:textId="2FDEA479" w:rsidR="00541709" w:rsidRDefault="00541709" w:rsidP="00541709">
      <w:pPr>
        <w:pStyle w:val="ListParagraph"/>
        <w:numPr>
          <w:ilvl w:val="0"/>
          <w:numId w:val="4"/>
        </w:numPr>
      </w:pPr>
      <w:proofErr w:type="spellStart"/>
      <w:r>
        <w:t>Mataira</w:t>
      </w:r>
      <w:proofErr w:type="spellEnd"/>
      <w:r>
        <w:t xml:space="preserve"> J. Peter – Transforming Indigenous research: Collaborative responses to historical research tensions (2019) </w:t>
      </w:r>
    </w:p>
    <w:p w14:paraId="098496A0" w14:textId="601DE77B" w:rsidR="00541709" w:rsidRPr="00541709" w:rsidRDefault="00541709" w:rsidP="00541709">
      <w:pPr>
        <w:pStyle w:val="ListParagraph"/>
        <w:numPr>
          <w:ilvl w:val="0"/>
          <w:numId w:val="4"/>
        </w:numPr>
        <w:rPr>
          <w:rFonts w:ascii="Times New Roman" w:eastAsia="Times New Roman" w:hAnsi="Times New Roman" w:cs="Times New Roman"/>
          <w:lang w:eastAsia="en-GB"/>
        </w:rPr>
      </w:pPr>
      <w:proofErr w:type="spellStart"/>
      <w:r w:rsidRPr="00541709">
        <w:rPr>
          <w:rFonts w:ascii="Helvetica" w:eastAsia="Times New Roman" w:hAnsi="Helvetica" w:cs="Times New Roman"/>
          <w:color w:val="555555"/>
          <w:sz w:val="21"/>
          <w:szCs w:val="21"/>
          <w:shd w:val="clear" w:color="auto" w:fill="FFFFFF"/>
          <w:lang w:eastAsia="en-GB"/>
        </w:rPr>
        <w:t>Krichauff</w:t>
      </w:r>
      <w:proofErr w:type="spellEnd"/>
      <w:r w:rsidRPr="00541709">
        <w:rPr>
          <w:rFonts w:ascii="Helvetica" w:eastAsia="Times New Roman" w:hAnsi="Helvetica" w:cs="Times New Roman"/>
          <w:color w:val="555555"/>
          <w:sz w:val="21"/>
          <w:szCs w:val="21"/>
          <w:shd w:val="clear" w:color="auto" w:fill="FFFFFF"/>
          <w:lang w:eastAsia="en-GB"/>
        </w:rPr>
        <w:t>, Skye. 2017. </w:t>
      </w:r>
      <w:r w:rsidRPr="00541709">
        <w:rPr>
          <w:rFonts w:ascii="Helvetica" w:eastAsia="Times New Roman" w:hAnsi="Helvetica" w:cs="Times New Roman"/>
          <w:i/>
          <w:iCs/>
          <w:color w:val="555555"/>
          <w:sz w:val="21"/>
          <w:szCs w:val="21"/>
          <w:shd w:val="clear" w:color="auto" w:fill="FFFFFF"/>
          <w:lang w:eastAsia="en-GB"/>
        </w:rPr>
        <w:t xml:space="preserve">Memory, Place and Aboriginal-Settler </w:t>
      </w:r>
      <w:proofErr w:type="gramStart"/>
      <w:r w:rsidRPr="00541709">
        <w:rPr>
          <w:rFonts w:ascii="Helvetica" w:eastAsia="Times New Roman" w:hAnsi="Helvetica" w:cs="Times New Roman"/>
          <w:i/>
          <w:iCs/>
          <w:color w:val="555555"/>
          <w:sz w:val="21"/>
          <w:szCs w:val="21"/>
          <w:shd w:val="clear" w:color="auto" w:fill="FFFFFF"/>
          <w:lang w:eastAsia="en-GB"/>
        </w:rPr>
        <w:t>History :</w:t>
      </w:r>
      <w:proofErr w:type="gramEnd"/>
      <w:r w:rsidRPr="00541709">
        <w:rPr>
          <w:rFonts w:ascii="Helvetica" w:eastAsia="Times New Roman" w:hAnsi="Helvetica" w:cs="Times New Roman"/>
          <w:i/>
          <w:iCs/>
          <w:color w:val="555555"/>
          <w:sz w:val="21"/>
          <w:szCs w:val="21"/>
          <w:shd w:val="clear" w:color="auto" w:fill="FFFFFF"/>
          <w:lang w:eastAsia="en-GB"/>
        </w:rPr>
        <w:t xml:space="preserve"> Understanding Australians’ Consciousness of the Colonial Past</w:t>
      </w:r>
      <w:r w:rsidRPr="00541709">
        <w:rPr>
          <w:rFonts w:ascii="Helvetica" w:eastAsia="Times New Roman" w:hAnsi="Helvetica" w:cs="Times New Roman"/>
          <w:color w:val="555555"/>
          <w:sz w:val="21"/>
          <w:szCs w:val="21"/>
          <w:shd w:val="clear" w:color="auto" w:fill="FFFFFF"/>
          <w:lang w:eastAsia="en-GB"/>
        </w:rPr>
        <w:t xml:space="preserve">. London: Anthem Press. Accessed June 9, 2022. ProQuest </w:t>
      </w:r>
      <w:proofErr w:type="spellStart"/>
      <w:r w:rsidRPr="00541709">
        <w:rPr>
          <w:rFonts w:ascii="Helvetica" w:eastAsia="Times New Roman" w:hAnsi="Helvetica" w:cs="Times New Roman"/>
          <w:color w:val="555555"/>
          <w:sz w:val="21"/>
          <w:szCs w:val="21"/>
          <w:shd w:val="clear" w:color="auto" w:fill="FFFFFF"/>
          <w:lang w:eastAsia="en-GB"/>
        </w:rPr>
        <w:t>Ebook</w:t>
      </w:r>
      <w:proofErr w:type="spellEnd"/>
      <w:r w:rsidRPr="00541709">
        <w:rPr>
          <w:rFonts w:ascii="Helvetica" w:eastAsia="Times New Roman" w:hAnsi="Helvetica" w:cs="Times New Roman"/>
          <w:color w:val="555555"/>
          <w:sz w:val="21"/>
          <w:szCs w:val="21"/>
          <w:shd w:val="clear" w:color="auto" w:fill="FFFFFF"/>
          <w:lang w:eastAsia="en-GB"/>
        </w:rPr>
        <w:t xml:space="preserve"> Central.</w:t>
      </w:r>
    </w:p>
    <w:p w14:paraId="51533B93" w14:textId="77777777" w:rsidR="00541709" w:rsidRDefault="00541709" w:rsidP="00541709">
      <w:pPr>
        <w:pStyle w:val="ListParagraph"/>
        <w:numPr>
          <w:ilvl w:val="0"/>
          <w:numId w:val="4"/>
        </w:numPr>
      </w:pPr>
      <w:r w:rsidRPr="00541709">
        <w:rPr>
          <w:rStyle w:val="authors"/>
          <w:rFonts w:ascii="Open Sans" w:hAnsi="Open Sans" w:cs="Open Sans"/>
          <w:color w:val="333333"/>
        </w:rPr>
        <w:t>Laura Stocker, Leonard Collard &amp; Angela Rooney</w:t>
      </w:r>
      <w:r w:rsidRPr="00541709">
        <w:rPr>
          <w:rStyle w:val="apple-converted-space"/>
          <w:rFonts w:ascii="Open Sans" w:hAnsi="Open Sans" w:cs="Open Sans"/>
          <w:color w:val="333333"/>
          <w:shd w:val="clear" w:color="auto" w:fill="FFFFFF"/>
        </w:rPr>
        <w:t> </w:t>
      </w:r>
      <w:r w:rsidRPr="00541709">
        <w:rPr>
          <w:rStyle w:val="date"/>
          <w:rFonts w:ascii="Open Sans" w:hAnsi="Open Sans" w:cs="Open Sans"/>
          <w:color w:val="333333"/>
        </w:rPr>
        <w:t>(2016)</w:t>
      </w:r>
      <w:r w:rsidRPr="00541709">
        <w:rPr>
          <w:rStyle w:val="apple-converted-space"/>
          <w:rFonts w:ascii="Open Sans" w:hAnsi="Open Sans" w:cs="Open Sans"/>
          <w:color w:val="333333"/>
          <w:shd w:val="clear" w:color="auto" w:fill="FFFFFF"/>
        </w:rPr>
        <w:t> </w:t>
      </w:r>
      <w:r w:rsidRPr="00541709">
        <w:rPr>
          <w:rStyle w:val="arttitle"/>
          <w:rFonts w:ascii="Open Sans" w:hAnsi="Open Sans" w:cs="Open Sans"/>
          <w:color w:val="333333"/>
        </w:rPr>
        <w:t>Aboriginal world views and colonisation: implications for coastal sustainability,</w:t>
      </w:r>
      <w:r w:rsidRPr="00541709">
        <w:rPr>
          <w:rStyle w:val="apple-converted-space"/>
          <w:rFonts w:ascii="Open Sans" w:hAnsi="Open Sans" w:cs="Open Sans"/>
          <w:color w:val="333333"/>
          <w:shd w:val="clear" w:color="auto" w:fill="FFFFFF"/>
        </w:rPr>
        <w:t> </w:t>
      </w:r>
      <w:r w:rsidRPr="00541709">
        <w:rPr>
          <w:rStyle w:val="serialtitle"/>
          <w:rFonts w:ascii="Open Sans" w:hAnsi="Open Sans" w:cs="Open Sans"/>
          <w:color w:val="333333"/>
        </w:rPr>
        <w:t>Local Environment,</w:t>
      </w:r>
      <w:r w:rsidRPr="00541709">
        <w:rPr>
          <w:rStyle w:val="apple-converted-space"/>
          <w:rFonts w:ascii="Open Sans" w:hAnsi="Open Sans" w:cs="Open Sans"/>
          <w:color w:val="333333"/>
          <w:shd w:val="clear" w:color="auto" w:fill="FFFFFF"/>
        </w:rPr>
        <w:t> </w:t>
      </w:r>
      <w:r w:rsidRPr="00541709">
        <w:rPr>
          <w:rStyle w:val="volumeissue"/>
          <w:rFonts w:ascii="Open Sans" w:hAnsi="Open Sans" w:cs="Open Sans"/>
          <w:color w:val="333333"/>
        </w:rPr>
        <w:t>21:7,</w:t>
      </w:r>
      <w:r w:rsidRPr="00541709">
        <w:rPr>
          <w:rStyle w:val="apple-converted-space"/>
          <w:rFonts w:ascii="Open Sans" w:hAnsi="Open Sans" w:cs="Open Sans"/>
          <w:color w:val="333333"/>
          <w:shd w:val="clear" w:color="auto" w:fill="FFFFFF"/>
        </w:rPr>
        <w:t> </w:t>
      </w:r>
      <w:r w:rsidRPr="00541709">
        <w:rPr>
          <w:rStyle w:val="pagerange"/>
          <w:rFonts w:ascii="Open Sans" w:hAnsi="Open Sans" w:cs="Open Sans"/>
          <w:color w:val="333333"/>
        </w:rPr>
        <w:t>844-865,</w:t>
      </w:r>
      <w:r w:rsidRPr="00541709">
        <w:rPr>
          <w:rStyle w:val="apple-converted-space"/>
          <w:rFonts w:ascii="Open Sans" w:hAnsi="Open Sans" w:cs="Open Sans"/>
          <w:color w:val="333333"/>
          <w:shd w:val="clear" w:color="auto" w:fill="FFFFFF"/>
        </w:rPr>
        <w:t> </w:t>
      </w:r>
      <w:r w:rsidRPr="00541709">
        <w:rPr>
          <w:rStyle w:val="doilink"/>
          <w:rFonts w:ascii="Open Sans" w:hAnsi="Open Sans" w:cs="Open Sans"/>
          <w:color w:val="333333"/>
        </w:rPr>
        <w:t>DOI:</w:t>
      </w:r>
      <w:r w:rsidRPr="00541709">
        <w:rPr>
          <w:rStyle w:val="apple-converted-space"/>
          <w:rFonts w:ascii="Open Sans" w:hAnsi="Open Sans" w:cs="Open Sans"/>
          <w:color w:val="333333"/>
        </w:rPr>
        <w:t> </w:t>
      </w:r>
      <w:hyperlink r:id="rId5" w:history="1">
        <w:r w:rsidRPr="00541709">
          <w:rPr>
            <w:rStyle w:val="Hyperlink"/>
            <w:rFonts w:ascii="Open Sans" w:hAnsi="Open Sans" w:cs="Open Sans"/>
            <w:color w:val="333333"/>
          </w:rPr>
          <w:t>10.1080/13549839.2015.1036414</w:t>
        </w:r>
      </w:hyperlink>
    </w:p>
    <w:p w14:paraId="76464248" w14:textId="1211B464" w:rsidR="00541709" w:rsidRPr="00541709" w:rsidRDefault="00541709" w:rsidP="00541709">
      <w:pPr>
        <w:pStyle w:val="ListParagraph"/>
        <w:numPr>
          <w:ilvl w:val="0"/>
          <w:numId w:val="4"/>
        </w:numPr>
        <w:rPr>
          <w:rFonts w:ascii="Times New Roman" w:eastAsia="Times New Roman" w:hAnsi="Times New Roman" w:cs="Times New Roman"/>
          <w:lang w:eastAsia="en-GB"/>
        </w:rPr>
      </w:pPr>
      <w:hyperlink r:id="rId6" w:history="1">
        <w:r w:rsidRPr="00541709">
          <w:rPr>
            <w:rStyle w:val="Hyperlink"/>
            <w:rFonts w:ascii="Times New Roman" w:eastAsia="Times New Roman" w:hAnsi="Times New Roman" w:cs="Times New Roman"/>
            <w:lang w:eastAsia="en-GB"/>
          </w:rPr>
          <w:t>https://www.tandfonline.com/doi/full/10.1080/13549839.2015.1036414</w:t>
        </w:r>
      </w:hyperlink>
      <w:r w:rsidRPr="00541709">
        <w:rPr>
          <w:rFonts w:ascii="Times New Roman" w:eastAsia="Times New Roman" w:hAnsi="Times New Roman" w:cs="Times New Roman"/>
          <w:lang w:eastAsia="en-GB"/>
        </w:rPr>
        <w:t xml:space="preserve"> </w:t>
      </w:r>
    </w:p>
    <w:p w14:paraId="0B58726D" w14:textId="00CF52D8" w:rsidR="00541709" w:rsidRDefault="00541709" w:rsidP="00541709">
      <w:pPr>
        <w:pStyle w:val="ListParagraph"/>
        <w:numPr>
          <w:ilvl w:val="0"/>
          <w:numId w:val="4"/>
        </w:numPr>
      </w:pPr>
      <w:hyperlink r:id="rId7" w:history="1">
        <w:r w:rsidRPr="004152D9">
          <w:rPr>
            <w:rStyle w:val="Hyperlink"/>
          </w:rPr>
          <w:t>https://course.oeru.org/inda102/learning-pathways/invasion-and-the-colonial-frontier-period/european-views-of-indigenous-peoples-at-the-time-of-invasion/</w:t>
        </w:r>
      </w:hyperlink>
    </w:p>
    <w:p w14:paraId="4988B2B7" w14:textId="560B9C7C" w:rsidR="00541709" w:rsidRDefault="00541709" w:rsidP="00541709">
      <w:pPr>
        <w:pStyle w:val="ListParagraph"/>
        <w:numPr>
          <w:ilvl w:val="0"/>
          <w:numId w:val="4"/>
        </w:numPr>
      </w:pPr>
      <w:hyperlink r:id="rId8" w:history="1">
        <w:r w:rsidRPr="004152D9">
          <w:rPr>
            <w:rStyle w:val="Hyperlink"/>
          </w:rPr>
          <w:t>https://www.australianstogether.org.au/discover/australian-history/early-settlers/</w:t>
        </w:r>
      </w:hyperlink>
    </w:p>
    <w:p w14:paraId="5E5C0049" w14:textId="127AFAA1" w:rsidR="00541709" w:rsidRDefault="00541709" w:rsidP="00541709">
      <w:pPr>
        <w:pStyle w:val="ListParagraph"/>
        <w:numPr>
          <w:ilvl w:val="0"/>
          <w:numId w:val="4"/>
        </w:numPr>
      </w:pPr>
      <w:hyperlink r:id="rId9" w:history="1">
        <w:r w:rsidRPr="004152D9">
          <w:rPr>
            <w:rStyle w:val="Hyperlink"/>
          </w:rPr>
          <w:t>https://www.australianstogether.org.au/discover/australian-history/colonisation/</w:t>
        </w:r>
      </w:hyperlink>
    </w:p>
    <w:p w14:paraId="6BEFBB2B" w14:textId="035E9F9C" w:rsidR="00541709" w:rsidRDefault="00541709" w:rsidP="00541709">
      <w:pPr>
        <w:pStyle w:val="ListParagraph"/>
        <w:numPr>
          <w:ilvl w:val="0"/>
          <w:numId w:val="4"/>
        </w:numPr>
      </w:pPr>
      <w:hyperlink r:id="rId10" w:history="1">
        <w:r w:rsidRPr="004152D9">
          <w:rPr>
            <w:rStyle w:val="Hyperlink"/>
          </w:rPr>
          <w:t>http://www.workingwithindigenousaustralians.info/content/History_3_Colonisation.html</w:t>
        </w:r>
      </w:hyperlink>
    </w:p>
    <w:p w14:paraId="690AE58F" w14:textId="3638FACA" w:rsidR="00541709" w:rsidRDefault="00541709" w:rsidP="00541709">
      <w:pPr>
        <w:pStyle w:val="ListParagraph"/>
        <w:numPr>
          <w:ilvl w:val="0"/>
          <w:numId w:val="4"/>
        </w:numPr>
      </w:pPr>
      <w:hyperlink r:id="rId11" w:history="1">
        <w:r w:rsidRPr="004152D9">
          <w:rPr>
            <w:rStyle w:val="Hyperlink"/>
          </w:rPr>
          <w:t>https://indigenousknowledge.unimelb.edu.au/curriculum/resources/colonising-the-landscape</w:t>
        </w:r>
      </w:hyperlink>
    </w:p>
    <w:p w14:paraId="41E1C33F" w14:textId="77777777" w:rsidR="00541709" w:rsidRDefault="00541709" w:rsidP="00541709">
      <w:pPr>
        <w:pStyle w:val="ListParagraph"/>
        <w:numPr>
          <w:ilvl w:val="0"/>
          <w:numId w:val="4"/>
        </w:numPr>
      </w:pPr>
    </w:p>
    <w:sectPr w:rsidR="005417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80004"/>
    <w:multiLevelType w:val="hybridMultilevel"/>
    <w:tmpl w:val="A1E0B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9137EF"/>
    <w:multiLevelType w:val="hybridMultilevel"/>
    <w:tmpl w:val="FF6C9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205DCD"/>
    <w:multiLevelType w:val="hybridMultilevel"/>
    <w:tmpl w:val="7ACA2C84"/>
    <w:lvl w:ilvl="0" w:tplc="21A624C8">
      <w:start w:val="2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D175DDC"/>
    <w:multiLevelType w:val="multilevel"/>
    <w:tmpl w:val="FCDC1AA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6A5B697F"/>
    <w:multiLevelType w:val="multilevel"/>
    <w:tmpl w:val="CFAC875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938367592">
    <w:abstractNumId w:val="4"/>
  </w:num>
  <w:num w:numId="2" w16cid:durableId="1700814264">
    <w:abstractNumId w:val="3"/>
  </w:num>
  <w:num w:numId="3" w16cid:durableId="713581308">
    <w:abstractNumId w:val="1"/>
  </w:num>
  <w:num w:numId="4" w16cid:durableId="761879702">
    <w:abstractNumId w:val="0"/>
  </w:num>
  <w:num w:numId="5" w16cid:durableId="11735656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90D"/>
    <w:rsid w:val="005015B1"/>
    <w:rsid w:val="00541709"/>
    <w:rsid w:val="0062413C"/>
    <w:rsid w:val="00D939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2BE9F7A"/>
  <w15:chartTrackingRefBased/>
  <w15:docId w15:val="{D6909E18-50F5-EE46-BCD5-73E0E235D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90D"/>
    <w:pPr>
      <w:ind w:left="720"/>
      <w:contextualSpacing/>
    </w:pPr>
  </w:style>
  <w:style w:type="character" w:customStyle="1" w:styleId="apple-converted-space">
    <w:name w:val="apple-converted-space"/>
    <w:basedOn w:val="DefaultParagraphFont"/>
    <w:rsid w:val="00541709"/>
  </w:style>
  <w:style w:type="character" w:styleId="Hyperlink">
    <w:name w:val="Hyperlink"/>
    <w:basedOn w:val="DefaultParagraphFont"/>
    <w:uiPriority w:val="99"/>
    <w:unhideWhenUsed/>
    <w:rsid w:val="00541709"/>
    <w:rPr>
      <w:color w:val="0563C1" w:themeColor="hyperlink"/>
      <w:u w:val="single"/>
    </w:rPr>
  </w:style>
  <w:style w:type="character" w:styleId="UnresolvedMention">
    <w:name w:val="Unresolved Mention"/>
    <w:basedOn w:val="DefaultParagraphFont"/>
    <w:uiPriority w:val="99"/>
    <w:semiHidden/>
    <w:unhideWhenUsed/>
    <w:rsid w:val="00541709"/>
    <w:rPr>
      <w:color w:val="605E5C"/>
      <w:shd w:val="clear" w:color="auto" w:fill="E1DFDD"/>
    </w:rPr>
  </w:style>
  <w:style w:type="character" w:styleId="FollowedHyperlink">
    <w:name w:val="FollowedHyperlink"/>
    <w:basedOn w:val="DefaultParagraphFont"/>
    <w:uiPriority w:val="99"/>
    <w:semiHidden/>
    <w:unhideWhenUsed/>
    <w:rsid w:val="00541709"/>
    <w:rPr>
      <w:color w:val="954F72" w:themeColor="followedHyperlink"/>
      <w:u w:val="single"/>
    </w:rPr>
  </w:style>
  <w:style w:type="character" w:customStyle="1" w:styleId="authors">
    <w:name w:val="authors"/>
    <w:basedOn w:val="DefaultParagraphFont"/>
    <w:rsid w:val="00541709"/>
  </w:style>
  <w:style w:type="character" w:customStyle="1" w:styleId="date">
    <w:name w:val="date"/>
    <w:basedOn w:val="DefaultParagraphFont"/>
    <w:rsid w:val="00541709"/>
  </w:style>
  <w:style w:type="character" w:customStyle="1" w:styleId="arttitle">
    <w:name w:val="art_title"/>
    <w:basedOn w:val="DefaultParagraphFont"/>
    <w:rsid w:val="00541709"/>
  </w:style>
  <w:style w:type="character" w:customStyle="1" w:styleId="serialtitle">
    <w:name w:val="serial_title"/>
    <w:basedOn w:val="DefaultParagraphFont"/>
    <w:rsid w:val="00541709"/>
  </w:style>
  <w:style w:type="character" w:customStyle="1" w:styleId="volumeissue">
    <w:name w:val="volume_issue"/>
    <w:basedOn w:val="DefaultParagraphFont"/>
    <w:rsid w:val="00541709"/>
  </w:style>
  <w:style w:type="character" w:customStyle="1" w:styleId="pagerange">
    <w:name w:val="page_range"/>
    <w:basedOn w:val="DefaultParagraphFont"/>
    <w:rsid w:val="00541709"/>
  </w:style>
  <w:style w:type="character" w:customStyle="1" w:styleId="doilink">
    <w:name w:val="doi_link"/>
    <w:basedOn w:val="DefaultParagraphFont"/>
    <w:rsid w:val="00541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986892">
      <w:bodyDiv w:val="1"/>
      <w:marLeft w:val="0"/>
      <w:marRight w:val="0"/>
      <w:marTop w:val="0"/>
      <w:marBottom w:val="0"/>
      <w:divBdr>
        <w:top w:val="none" w:sz="0" w:space="0" w:color="auto"/>
        <w:left w:val="none" w:sz="0" w:space="0" w:color="auto"/>
        <w:bottom w:val="none" w:sz="0" w:space="0" w:color="auto"/>
        <w:right w:val="none" w:sz="0" w:space="0" w:color="auto"/>
      </w:divBdr>
    </w:div>
    <w:div w:id="851997243">
      <w:bodyDiv w:val="1"/>
      <w:marLeft w:val="0"/>
      <w:marRight w:val="0"/>
      <w:marTop w:val="0"/>
      <w:marBottom w:val="0"/>
      <w:divBdr>
        <w:top w:val="none" w:sz="0" w:space="0" w:color="auto"/>
        <w:left w:val="none" w:sz="0" w:space="0" w:color="auto"/>
        <w:bottom w:val="none" w:sz="0" w:space="0" w:color="auto"/>
        <w:right w:val="none" w:sz="0" w:space="0" w:color="auto"/>
      </w:divBdr>
    </w:div>
    <w:div w:id="1200119475">
      <w:bodyDiv w:val="1"/>
      <w:marLeft w:val="0"/>
      <w:marRight w:val="0"/>
      <w:marTop w:val="0"/>
      <w:marBottom w:val="0"/>
      <w:divBdr>
        <w:top w:val="none" w:sz="0" w:space="0" w:color="auto"/>
        <w:left w:val="none" w:sz="0" w:space="0" w:color="auto"/>
        <w:bottom w:val="none" w:sz="0" w:space="0" w:color="auto"/>
        <w:right w:val="none" w:sz="0" w:space="0" w:color="auto"/>
      </w:divBdr>
    </w:div>
    <w:div w:id="199880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stralianstogether.org.au/discover/australian-history/early-settle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ourse.oeru.org/inda102/learning-pathways/invasion-and-the-colonial-frontier-period/european-views-of-indigenous-peoples-at-the-time-of-invas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andfonline.com/doi/full/10.1080/13549839.2015.1036414" TargetMode="External"/><Relationship Id="rId11" Type="http://schemas.openxmlformats.org/officeDocument/2006/relationships/hyperlink" Target="https://indigenousknowledge.unimelb.edu.au/curriculum/resources/colonising-the-landscape" TargetMode="External"/><Relationship Id="rId5" Type="http://schemas.openxmlformats.org/officeDocument/2006/relationships/hyperlink" Target="https://doi.org/10.1080/13549839.2015.1036414" TargetMode="External"/><Relationship Id="rId10" Type="http://schemas.openxmlformats.org/officeDocument/2006/relationships/hyperlink" Target="http://www.workingwithindigenousaustralians.info/content/History_3_Colonisation.html" TargetMode="External"/><Relationship Id="rId4" Type="http://schemas.openxmlformats.org/officeDocument/2006/relationships/webSettings" Target="webSettings.xml"/><Relationship Id="rId9" Type="http://schemas.openxmlformats.org/officeDocument/2006/relationships/hyperlink" Target="https://www.australianstogether.org.au/discover/australian-history/colonis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642</Words>
  <Characters>3663</Characters>
  <Application>Microsoft Office Word</Application>
  <DocSecurity>0</DocSecurity>
  <Lines>30</Lines>
  <Paragraphs>8</Paragraphs>
  <ScaleCrop>false</ScaleCrop>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Dajana Lakic</dc:creator>
  <cp:keywords/>
  <dc:description/>
  <cp:lastModifiedBy>Dajana Lakic</cp:lastModifiedBy>
  <cp:revision>2</cp:revision>
  <dcterms:created xsi:type="dcterms:W3CDTF">2022-06-09T12:17:00Z</dcterms:created>
  <dcterms:modified xsi:type="dcterms:W3CDTF">2022-06-09T12:17:00Z</dcterms:modified>
</cp:coreProperties>
</file>